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Estilo1"/>
        <w:spacing w:before="100" w:after="100"/>
        <w:ind w:right="141"/>
        <w:jc w:val="center"/>
        <w:rPr>
          <w:rFonts w:ascii="Times New Roman" w:hAnsi="Times New Roman" w:cs="Times New Roman"/>
          <w:b/>
          <w:sz w:val="24"/>
          <w:szCs w:val="24"/>
        </w:rPr>
      </w:pPr>
      <w:r>
        <w:rPr>
          <w:rFonts w:cs="Times New Roman" w:ascii="Times New Roman" w:hAnsi="Times New Roman"/>
          <w:b/>
          <w:sz w:val="24"/>
          <w:szCs w:val="24"/>
        </w:rPr>
        <w:t>ANEXO I</w:t>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t>OBJETIVOS DE CALIDAD ACÚSTICA</w:t>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r>
    </w:p>
    <w:p>
      <w:pPr>
        <w:pStyle w:val="Estilo1"/>
        <w:ind w:right="141"/>
        <w:jc w:val="center"/>
        <w:rPr>
          <w:rFonts w:ascii="Times New Roman" w:hAnsi="Times New Roman" w:cs="Times New Roman"/>
          <w:b/>
          <w:bCs w:val="false"/>
          <w:sz w:val="24"/>
          <w:szCs w:val="24"/>
        </w:rPr>
      </w:pPr>
      <w:r>
        <w:rPr>
          <w:rFonts w:cs="Times New Roman" w:ascii="Times New Roman" w:hAnsi="Times New Roman"/>
          <w:b/>
          <w:bCs w:val="false"/>
          <w:sz w:val="24"/>
          <w:szCs w:val="24"/>
        </w:rPr>
        <w:t>TABLA I.1.- OBJETIVOS DE CALIDAD ACÚSTICA DE RUIDO APLICABLES AL ESPACIO EXTERIOR DE ÁREAS URBANIZADAS EXISTENTES</w:t>
      </w:r>
    </w:p>
    <w:p>
      <w:pPr>
        <w:pStyle w:val="Estilo1"/>
        <w:ind w:right="141"/>
        <w:jc w:val="center"/>
        <w:rPr>
          <w:rFonts w:ascii="Times New Roman" w:hAnsi="Times New Roman" w:cs="Times New Roman"/>
          <w:b/>
          <w:bCs w:val="false"/>
          <w:sz w:val="24"/>
          <w:szCs w:val="24"/>
        </w:rPr>
      </w:pPr>
      <w:r>
        <w:rPr>
          <w:rFonts w:cs="Times New Roman" w:ascii="Times New Roman" w:hAnsi="Times New Roman"/>
          <w:b/>
          <w:bCs w:val="false"/>
          <w:sz w:val="24"/>
          <w:szCs w:val="24"/>
        </w:rPr>
      </w:r>
    </w:p>
    <w:tbl>
      <w:tblPr>
        <w:tblW w:w="9209"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1240"/>
        <w:gridCol w:w="4141"/>
        <w:gridCol w:w="1277"/>
        <w:gridCol w:w="1274"/>
        <w:gridCol w:w="1277"/>
      </w:tblGrid>
      <w:tr>
        <w:trPr>
          <w:trHeight w:val="540" w:hRule="atLeast"/>
        </w:trPr>
        <w:tc>
          <w:tcPr>
            <w:tcW w:w="5381"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Tipo de área de sensibilidad acústica </w:t>
            </w:r>
          </w:p>
        </w:tc>
        <w:tc>
          <w:tcPr>
            <w:tcW w:w="3828"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Índices de ruido (dBA) </w:t>
            </w:r>
          </w:p>
        </w:tc>
      </w:tr>
      <w:tr>
        <w:trPr>
          <w:trHeight w:val="528" w:hRule="atLeast"/>
        </w:trPr>
        <w:tc>
          <w:tcPr>
            <w:tcW w:w="5381"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100" w:after="0"/>
              <w:ind w:right="141"/>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Ld </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Le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Ln </w:t>
            </w:r>
          </w:p>
        </w:tc>
      </w:tr>
      <w:tr>
        <w:trPr>
          <w:trHeight w:val="1572"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sanitario, docente y cultural que requieran de especial protección contra la contaminación acústica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50</w:t>
            </w:r>
          </w:p>
        </w:tc>
      </w:tr>
      <w:tr>
        <w:trPr>
          <w:trHeight w:val="816"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a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residencial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65</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65</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55</w:t>
            </w:r>
          </w:p>
        </w:tc>
      </w:tr>
      <w:tr>
        <w:trPr>
          <w:trHeight w:val="1125"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d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característico turístico o de otro uso terciario distinto del indicado en el tipo c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70</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70</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65</w:t>
            </w:r>
          </w:p>
        </w:tc>
      </w:tr>
      <w:tr>
        <w:trPr>
          <w:trHeight w:val="1068"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cc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recreativo o de espectáculos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73</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73</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63</w:t>
            </w:r>
          </w:p>
        </w:tc>
      </w:tr>
      <w:tr>
        <w:trPr>
          <w:trHeight w:val="816"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bb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industrial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75</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75</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65</w:t>
            </w:r>
          </w:p>
        </w:tc>
      </w:tr>
      <w:tr>
        <w:trPr>
          <w:trHeight w:val="971"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ff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afectados a sistemas generales de infraestructuras de transporte u otros equipamientos públicos que los reclamen. (1)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(2)</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(2)</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(2)</w:t>
            </w:r>
          </w:p>
        </w:tc>
      </w:tr>
      <w:tr>
        <w:trPr>
          <w:trHeight w:val="903"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gg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Espacios naturales que requieran una especial protección contra la contaminación acústica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w:t>
            </w:r>
          </w:p>
        </w:tc>
      </w:tr>
    </w:tbl>
    <w:p>
      <w:pPr>
        <w:pStyle w:val="Estilo1"/>
        <w:numPr>
          <w:ilvl w:val="0"/>
          <w:numId w:val="2"/>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En estos sectores del territorio se adoptarán las medidas adecuadas de prevención de la contaminación acústica, en particular mediante la aplicación de las tecnologías de menor incidencia acústica de entre las mejores técnicas disponibles, de acuerdo con el apartado a), del artículo 18.2 de la Ley 37/2003, de 17 de noviembre.</w:t>
      </w:r>
    </w:p>
    <w:p>
      <w:pPr>
        <w:pStyle w:val="Estilo1"/>
        <w:numPr>
          <w:ilvl w:val="0"/>
          <w:numId w:val="2"/>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En el límite perimetral de estos sectores del territorio no se superarán los objetivos de calidad acústica para ruido aplicables al resto de áreas acústicas colindantes con ellos.</w:t>
      </w:r>
    </w:p>
    <w:p>
      <w:pPr>
        <w:pStyle w:val="Estilo1"/>
        <w:numPr>
          <w:ilvl w:val="0"/>
          <w:numId w:val="2"/>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Índices Los objetivos de calidad acústica para ruido aplicables a los espacios naturales delimitados como área acústica de tipo g) se establecerán por el Ayuntamiento para cada caso en particular, atendiendo a aquellas consideraciones específicas de los mismos que justifiquen su clasificación como área acústica, previo informe de la Consejería competente en materia de medio ambiente. Este informe tendrá carácter vinculante en lo que se refiera a cuestiones de legalidad.</w:t>
      </w:r>
    </w:p>
    <w:p>
      <w:pPr>
        <w:pStyle w:val="Estilo1"/>
        <w:spacing w:before="200" w:after="200"/>
        <w:rPr>
          <w:rFonts w:ascii="Times New Roman" w:hAnsi="Times New Roman" w:cs="Times New Roman"/>
          <w:sz w:val="24"/>
          <w:szCs w:val="24"/>
        </w:rPr>
      </w:pPr>
      <w:r>
        <w:rPr>
          <w:rFonts w:cs="Times New Roman" w:ascii="Times New Roman" w:hAnsi="Times New Roman"/>
          <w:b/>
          <w:bCs w:val="false"/>
          <w:sz w:val="24"/>
          <w:szCs w:val="24"/>
        </w:rPr>
        <w:t>Nota:</w:t>
      </w:r>
      <w:r>
        <w:rPr>
          <w:rFonts w:cs="Times New Roman" w:ascii="Times New Roman" w:hAnsi="Times New Roman"/>
          <w:sz w:val="24"/>
          <w:szCs w:val="24"/>
        </w:rPr>
        <w:t xml:space="preserve"> Los objetivos de calidad aplicables a las áreas acústicas están referenciados a una altura de 4 m.</w:t>
      </w:r>
    </w:p>
    <w:p>
      <w:pPr>
        <w:pStyle w:val="Estilo1"/>
        <w:ind w:right="141"/>
        <w:jc w:val="center"/>
        <w:rPr>
          <w:rFonts w:ascii="Times New Roman" w:hAnsi="Times New Roman" w:cs="Times New Roman"/>
          <w:b/>
          <w:bCs w:val="false"/>
          <w:sz w:val="24"/>
          <w:szCs w:val="24"/>
        </w:rPr>
      </w:pPr>
      <w:r>
        <w:rPr>
          <w:rFonts w:cs="Times New Roman" w:ascii="Times New Roman" w:hAnsi="Times New Roman"/>
          <w:b/>
          <w:bCs w:val="false"/>
          <w:sz w:val="24"/>
          <w:szCs w:val="24"/>
        </w:rPr>
      </w:r>
    </w:p>
    <w:p>
      <w:pPr>
        <w:pStyle w:val="Estilo1"/>
        <w:ind w:right="141"/>
        <w:jc w:val="center"/>
        <w:rPr>
          <w:rFonts w:ascii="Times New Roman" w:hAnsi="Times New Roman" w:cs="Times New Roman"/>
          <w:b/>
          <w:bCs w:val="false"/>
          <w:sz w:val="24"/>
          <w:szCs w:val="24"/>
        </w:rPr>
      </w:pPr>
      <w:r>
        <w:rPr>
          <w:rFonts w:cs="Times New Roman" w:ascii="Times New Roman" w:hAnsi="Times New Roman"/>
          <w:b/>
          <w:bCs w:val="false"/>
          <w:sz w:val="24"/>
          <w:szCs w:val="24"/>
        </w:rPr>
        <w:t>TABLA I.2.- OBJETIVOS DE CALIDAD ACÚSTICA DE RUIDO APLICABLES AL ESPACIO EXTERIOR DE NUEVAS ÁREAS URBANIZADAS</w:t>
      </w:r>
    </w:p>
    <w:p>
      <w:pPr>
        <w:pStyle w:val="Estilo1"/>
        <w:ind w:right="141"/>
        <w:jc w:val="center"/>
        <w:rPr>
          <w:rFonts w:ascii="Times New Roman" w:hAnsi="Times New Roman" w:cs="Times New Roman"/>
          <w:b/>
          <w:bCs w:val="false"/>
          <w:sz w:val="24"/>
          <w:szCs w:val="24"/>
        </w:rPr>
      </w:pPr>
      <w:r>
        <w:rPr>
          <w:rFonts w:cs="Times New Roman" w:ascii="Times New Roman" w:hAnsi="Times New Roman"/>
          <w:b/>
          <w:bCs w:val="false"/>
          <w:sz w:val="24"/>
          <w:szCs w:val="24"/>
        </w:rPr>
      </w:r>
    </w:p>
    <w:tbl>
      <w:tblPr>
        <w:tblW w:w="9209"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1240"/>
        <w:gridCol w:w="4141"/>
        <w:gridCol w:w="1277"/>
        <w:gridCol w:w="1274"/>
        <w:gridCol w:w="1277"/>
      </w:tblGrid>
      <w:tr>
        <w:trPr>
          <w:trHeight w:val="540" w:hRule="atLeast"/>
        </w:trPr>
        <w:tc>
          <w:tcPr>
            <w:tcW w:w="5381"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Tipo de área de sensibilidad acústica </w:t>
            </w:r>
          </w:p>
        </w:tc>
        <w:tc>
          <w:tcPr>
            <w:tcW w:w="3828"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Índices de ruido (dBA) </w:t>
            </w:r>
          </w:p>
        </w:tc>
      </w:tr>
      <w:tr>
        <w:trPr>
          <w:trHeight w:val="528" w:hRule="atLeast"/>
        </w:trPr>
        <w:tc>
          <w:tcPr>
            <w:tcW w:w="5381"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100" w:after="0"/>
              <w:ind w:right="141"/>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Ld </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Le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Ln </w:t>
            </w:r>
          </w:p>
        </w:tc>
      </w:tr>
      <w:tr>
        <w:trPr>
          <w:trHeight w:val="1572"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sanitario, docente y cultural que requieran de especial protección contra la contaminación acústica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55</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55</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45</w:t>
            </w:r>
          </w:p>
        </w:tc>
      </w:tr>
      <w:tr>
        <w:trPr>
          <w:trHeight w:val="816"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a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residencial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50</w:t>
            </w:r>
          </w:p>
        </w:tc>
      </w:tr>
      <w:tr>
        <w:trPr>
          <w:trHeight w:val="1125"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d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característico turístico o de otro uso terciario distinto del indicado en el tipo c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65</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65</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r>
      <w:tr>
        <w:trPr>
          <w:trHeight w:val="1068"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cc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recreativo o de espectáculos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68</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68</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58</w:t>
            </w:r>
          </w:p>
        </w:tc>
      </w:tr>
      <w:tr>
        <w:trPr>
          <w:trHeight w:val="816"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bb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industrial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70</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70</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r>
      <w:tr>
        <w:trPr>
          <w:trHeight w:val="971"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ff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afectados a sistemas generales de infraestructuras de transporte u otros equipamientos públicos que los reclamen. (1)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(2)</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(2)</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(2)</w:t>
            </w:r>
          </w:p>
        </w:tc>
      </w:tr>
      <w:tr>
        <w:trPr>
          <w:trHeight w:val="903" w:hRule="atLeast"/>
        </w:trPr>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gg </w:t>
            </w:r>
          </w:p>
        </w:tc>
        <w:tc>
          <w:tcPr>
            <w:tcW w:w="4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Espacios naturales que requieran una especial protección contra la contaminación acústica </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w:t>
            </w:r>
          </w:p>
        </w:tc>
        <w:tc>
          <w:tcPr>
            <w:tcW w:w="12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w:t>
            </w:r>
          </w:p>
        </w:tc>
      </w:tr>
    </w:tbl>
    <w:p>
      <w:pPr>
        <w:pStyle w:val="Estilo1"/>
        <w:spacing w:before="200" w:after="200"/>
        <w:ind w:left="284"/>
        <w:rPr>
          <w:rFonts w:ascii="Times New Roman" w:hAnsi="Times New Roman" w:cs="Times New Roman"/>
          <w:sz w:val="24"/>
          <w:szCs w:val="24"/>
        </w:rPr>
      </w:pPr>
      <w:r>
        <w:rPr>
          <w:rFonts w:cs="Times New Roman" w:ascii="Times New Roman" w:hAnsi="Times New Roman"/>
          <w:sz w:val="24"/>
          <w:szCs w:val="24"/>
        </w:rPr>
      </w:r>
    </w:p>
    <w:p>
      <w:pPr>
        <w:pStyle w:val="Estilo1"/>
        <w:numPr>
          <w:ilvl w:val="0"/>
          <w:numId w:val="3"/>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 xml:space="preserve">Igual consideración que la hecha en la tabla I.1. </w:t>
      </w:r>
    </w:p>
    <w:p>
      <w:pPr>
        <w:pStyle w:val="Estilo1"/>
        <w:numPr>
          <w:ilvl w:val="0"/>
          <w:numId w:val="3"/>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 xml:space="preserve">Igual consideración que la hecha en la tabla I.1. </w:t>
      </w:r>
    </w:p>
    <w:p>
      <w:pPr>
        <w:pStyle w:val="Estilo1"/>
        <w:numPr>
          <w:ilvl w:val="0"/>
          <w:numId w:val="3"/>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 xml:space="preserve">Igual consideración que la hecha en la tabla I.1. </w:t>
      </w:r>
    </w:p>
    <w:p>
      <w:pPr>
        <w:pStyle w:val="Estilo1"/>
        <w:spacing w:before="200" w:after="200"/>
        <w:ind w:left="-76"/>
        <w:rPr>
          <w:rFonts w:ascii="Times New Roman" w:hAnsi="Times New Roman" w:cs="Times New Roman"/>
          <w:sz w:val="24"/>
          <w:szCs w:val="24"/>
        </w:rPr>
      </w:pPr>
      <w:r>
        <w:rPr>
          <w:rFonts w:cs="Times New Roman" w:ascii="Times New Roman" w:hAnsi="Times New Roman"/>
          <w:sz w:val="24"/>
          <w:szCs w:val="24"/>
        </w:rPr>
        <w:t>Nota: Los objetivos de calidad aplicables a las áreas acústicas están referenciados a una altura de 4 m.</w:t>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t>TABLA I.3.- OBJETIVOS DE CALIDAD ACÚSTICA DE RUIDO APLICABLES AL ESPACIO EXTERIOR DE ZONAS TRANQUILAS EN LAS AGLOMERACIONES</w:t>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r>
    </w:p>
    <w:tbl>
      <w:tblPr>
        <w:tblW w:w="9209"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1240"/>
        <w:gridCol w:w="4141"/>
        <w:gridCol w:w="1277"/>
        <w:gridCol w:w="1274"/>
        <w:gridCol w:w="1277"/>
      </w:tblGrid>
      <w:tr>
        <w:trPr>
          <w:trHeight w:val="540" w:hRule="atLeast"/>
        </w:trPr>
        <w:tc>
          <w:tcPr>
            <w:tcW w:w="5381"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Tipo de área de sensibilidad acústica </w:t>
            </w:r>
          </w:p>
        </w:tc>
        <w:tc>
          <w:tcPr>
            <w:tcW w:w="3828"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Índices de ruido (dBA) </w:t>
            </w:r>
          </w:p>
        </w:tc>
      </w:tr>
      <w:tr>
        <w:trPr>
          <w:trHeight w:val="528" w:hRule="atLeast"/>
        </w:trPr>
        <w:tc>
          <w:tcPr>
            <w:tcW w:w="5381"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100" w:after="0"/>
              <w:ind w:right="141"/>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Ld </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Le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color w:val="000000"/>
                <w:sz w:val="24"/>
                <w:szCs w:val="24"/>
                <w:lang w:eastAsia="es-ES"/>
                <w14:ligatures w14:val="none"/>
              </w:rPr>
              <w:t xml:space="preserve">Ln </w:t>
            </w:r>
          </w:p>
        </w:tc>
      </w:tr>
      <w:tr>
        <w:trPr>
          <w:trHeight w:val="1572"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sanitario, docente y cultural que requieran de especial protección contra la contaminación acústica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55</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55</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45</w:t>
            </w:r>
          </w:p>
        </w:tc>
      </w:tr>
      <w:tr>
        <w:trPr>
          <w:trHeight w:val="816"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a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residencial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50</w:t>
            </w:r>
          </w:p>
        </w:tc>
      </w:tr>
      <w:tr>
        <w:trPr>
          <w:trHeight w:val="1125"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d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característico turístico o de otro uso terciario distinto del indicado en el tipo c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65</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65</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r>
      <w:tr>
        <w:trPr>
          <w:trHeight w:val="1068"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cc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recreativo o de espectáculos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68</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68</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58</w:t>
            </w:r>
          </w:p>
        </w:tc>
      </w:tr>
      <w:tr>
        <w:trPr>
          <w:trHeight w:val="816"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bb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con predominio de suelo de uso industrial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70</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70</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60</w:t>
            </w:r>
          </w:p>
        </w:tc>
      </w:tr>
      <w:tr>
        <w:trPr>
          <w:trHeight w:val="971"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ff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Sectores del territorio afectados a sistemas generales de infraestructuras de transporte u otros equipamientos públicos que los reclamen. (1)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(2)</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(2)</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(2)</w:t>
            </w:r>
          </w:p>
        </w:tc>
      </w:tr>
      <w:tr>
        <w:trPr>
          <w:trHeight w:val="903" w:hRule="atLeast"/>
        </w:trPr>
        <w:tc>
          <w:tcPr>
            <w:tcW w:w="124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gg </w:t>
            </w:r>
          </w:p>
        </w:tc>
        <w:tc>
          <w:tcPr>
            <w:tcW w:w="4141" w:type="dxa"/>
            <w:tcBorders>
              <w:bottom w:val="single" w:sz="4" w:space="0" w:color="000000"/>
              <w:right w:val="single" w:sz="4" w:space="0" w:color="000000"/>
            </w:tcBorders>
            <w:shd w:color="auto" w:fill="auto" w:val="clear"/>
            <w:vAlign w:val="center"/>
          </w:tcPr>
          <w:p>
            <w:pPr>
              <w:pStyle w:val="Normal"/>
              <w:spacing w:lineRule="auto" w:line="240" w:before="100" w:after="0"/>
              <w:ind w:right="141"/>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Espacios naturales que requieran una especial protección contra la contaminación acústica </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100" w:after="0"/>
              <w:ind w:right="141"/>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w:t>
            </w:r>
          </w:p>
        </w:tc>
      </w:tr>
    </w:tbl>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r>
    </w:p>
    <w:p>
      <w:pPr>
        <w:pStyle w:val="Estilo1"/>
        <w:numPr>
          <w:ilvl w:val="0"/>
          <w:numId w:val="4"/>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 xml:space="preserve">Igual consideración que la hecha en la tabla I.1. </w:t>
      </w:r>
    </w:p>
    <w:p>
      <w:pPr>
        <w:pStyle w:val="Estilo1"/>
        <w:numPr>
          <w:ilvl w:val="0"/>
          <w:numId w:val="4"/>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 xml:space="preserve">Igual consideración que la hecha en la tabla I.1. </w:t>
      </w:r>
    </w:p>
    <w:p>
      <w:pPr>
        <w:pStyle w:val="Estilo1"/>
        <w:numPr>
          <w:ilvl w:val="0"/>
          <w:numId w:val="4"/>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 xml:space="preserve">Igual consideración que la hecha en la tabla I.1. </w:t>
      </w:r>
    </w:p>
    <w:p>
      <w:pPr>
        <w:pStyle w:val="Estilo1"/>
        <w:spacing w:before="200" w:after="200"/>
        <w:ind w:left="-76"/>
        <w:rPr>
          <w:rFonts w:ascii="Times New Roman" w:hAnsi="Times New Roman" w:cs="Times New Roman"/>
          <w:sz w:val="24"/>
          <w:szCs w:val="24"/>
        </w:rPr>
      </w:pPr>
      <w:r>
        <w:rPr>
          <w:rFonts w:cs="Times New Roman" w:ascii="Times New Roman" w:hAnsi="Times New Roman"/>
          <w:sz w:val="24"/>
          <w:szCs w:val="24"/>
        </w:rPr>
        <w:t xml:space="preserve">Nota 1ª: Los objetivos de calidad de las zonas tranquilas en campo abierto serán, en su caso, los establecidos para el área tipo g) en que se integren. </w:t>
      </w:r>
    </w:p>
    <w:p>
      <w:pPr>
        <w:pStyle w:val="Estilo1"/>
        <w:spacing w:before="200" w:after="200"/>
        <w:ind w:left="-76"/>
        <w:rPr>
          <w:rFonts w:ascii="Times New Roman" w:hAnsi="Times New Roman" w:cs="Times New Roman"/>
          <w:sz w:val="24"/>
          <w:szCs w:val="24"/>
        </w:rPr>
      </w:pPr>
      <w:r>
        <w:rPr>
          <w:rFonts w:cs="Times New Roman" w:ascii="Times New Roman" w:hAnsi="Times New Roman"/>
          <w:sz w:val="24"/>
          <w:szCs w:val="24"/>
        </w:rPr>
        <w:t>Nota 2ª: Los objetivos de calidad aplicables a las áreas acústicas están referenciados a una altura de 4 m.</w:t>
      </w:r>
    </w:p>
    <w:p>
      <w:pPr>
        <w:pStyle w:val="Estilo1"/>
        <w:spacing w:before="200" w:after="200"/>
        <w:ind w:left="-76"/>
        <w:rPr>
          <w:rFonts w:ascii="Times New Roman" w:hAnsi="Times New Roman" w:cs="Times New Roman"/>
          <w:sz w:val="24"/>
          <w:szCs w:val="24"/>
        </w:rPr>
      </w:pPr>
      <w:r>
        <w:rPr>
          <w:rFonts w:cs="Times New Roman" w:ascii="Times New Roman" w:hAnsi="Times New Roman"/>
          <w:sz w:val="24"/>
          <w:szCs w:val="24"/>
        </w:rPr>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t>TABLA I.4.- OBJETIVOS DE CALIDAD ACÚSTICA DE RUIDO, APLICABLES AL ESPACIO INTERIOR HABITABLE DE EDIFICACIONES</w:t>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r>
    </w:p>
    <w:tbl>
      <w:tblPr>
        <w:tblW w:w="8926"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830"/>
        <w:gridCol w:w="2694"/>
        <w:gridCol w:w="1133"/>
        <w:gridCol w:w="1135"/>
        <w:gridCol w:w="1134"/>
      </w:tblGrid>
      <w:tr>
        <w:trPr>
          <w:trHeight w:val="312" w:hRule="atLeast"/>
        </w:trPr>
        <w:tc>
          <w:tcPr>
            <w:tcW w:w="28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t xml:space="preserve">Uso del edificio </w:t>
            </w:r>
          </w:p>
        </w:tc>
        <w:tc>
          <w:tcPr>
            <w:tcW w:w="269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t xml:space="preserve">Tipo de recinto </w:t>
            </w:r>
          </w:p>
        </w:tc>
        <w:tc>
          <w:tcPr>
            <w:tcW w:w="3402"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t xml:space="preserve">(1) Índices de ruido (dBA) </w:t>
            </w:r>
          </w:p>
        </w:tc>
      </w:tr>
      <w:tr>
        <w:trPr>
          <w:trHeight w:val="312" w:hRule="atLeast"/>
        </w:trPr>
        <w:tc>
          <w:tcPr>
            <w:tcW w:w="28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left"/>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r>
          </w:p>
        </w:tc>
        <w:tc>
          <w:tcPr>
            <w:tcW w:w="26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left"/>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r>
          </w:p>
        </w:tc>
        <w:tc>
          <w:tcPr>
            <w:tcW w:w="113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t>L</w:t>
            </w:r>
            <w:r>
              <w:rPr>
                <w:rFonts w:eastAsia="Times New Roman" w:cs="Times New Roman" w:ascii="Times New Roman" w:hAnsi="Times New Roman"/>
                <w:b/>
                <w:bCs/>
                <w:color w:val="000000"/>
                <w:sz w:val="24"/>
                <w:szCs w:val="24"/>
                <w:vertAlign w:val="subscript"/>
                <w:lang w:eastAsia="es-ES"/>
                <w14:ligatures w14:val="none"/>
              </w:rPr>
              <w:t>d</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t>L</w:t>
            </w:r>
            <w:r>
              <w:rPr>
                <w:rFonts w:eastAsia="Times New Roman" w:cs="Times New Roman" w:ascii="Times New Roman" w:hAnsi="Times New Roman"/>
                <w:b/>
                <w:bCs/>
                <w:color w:val="000000"/>
                <w:sz w:val="24"/>
                <w:szCs w:val="24"/>
                <w:vertAlign w:val="subscript"/>
                <w:lang w:eastAsia="es-ES"/>
                <w14:ligatures w14:val="none"/>
              </w:rPr>
              <w:t>e</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t>L</w:t>
            </w:r>
            <w:r>
              <w:rPr>
                <w:rFonts w:eastAsia="Times New Roman" w:cs="Times New Roman" w:ascii="Times New Roman" w:hAnsi="Times New Roman"/>
                <w:b/>
                <w:bCs/>
                <w:color w:val="000000"/>
                <w:sz w:val="24"/>
                <w:szCs w:val="24"/>
                <w:vertAlign w:val="subscript"/>
                <w:lang w:eastAsia="es-ES"/>
                <w14:ligatures w14:val="none"/>
              </w:rPr>
              <w:t>n</w:t>
            </w:r>
          </w:p>
        </w:tc>
      </w:tr>
      <w:tr>
        <w:trPr>
          <w:trHeight w:val="312" w:hRule="atLeast"/>
        </w:trPr>
        <w:tc>
          <w:tcPr>
            <w:tcW w:w="2830"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Residencial </w:t>
            </w:r>
          </w:p>
        </w:tc>
        <w:tc>
          <w:tcPr>
            <w:tcW w:w="269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Estancias </w:t>
            </w:r>
          </w:p>
        </w:tc>
        <w:tc>
          <w:tcPr>
            <w:tcW w:w="113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45</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45</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35</w:t>
            </w:r>
          </w:p>
        </w:tc>
      </w:tr>
      <w:tr>
        <w:trPr>
          <w:trHeight w:val="312" w:hRule="atLeast"/>
        </w:trPr>
        <w:tc>
          <w:tcPr>
            <w:tcW w:w="2830"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r>
          </w:p>
        </w:tc>
        <w:tc>
          <w:tcPr>
            <w:tcW w:w="269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Dormitorios </w:t>
            </w:r>
          </w:p>
        </w:tc>
        <w:tc>
          <w:tcPr>
            <w:tcW w:w="113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30</w:t>
            </w:r>
          </w:p>
        </w:tc>
      </w:tr>
      <w:tr>
        <w:trPr>
          <w:trHeight w:val="383" w:hRule="atLeast"/>
        </w:trPr>
        <w:tc>
          <w:tcPr>
            <w:tcW w:w="2830"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Administrativo, Oficinas </w:t>
            </w:r>
          </w:p>
        </w:tc>
        <w:tc>
          <w:tcPr>
            <w:tcW w:w="269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Despachos profesionales </w:t>
            </w:r>
          </w:p>
        </w:tc>
        <w:tc>
          <w:tcPr>
            <w:tcW w:w="113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r>
      <w:tr>
        <w:trPr>
          <w:trHeight w:val="312" w:hRule="atLeast"/>
        </w:trPr>
        <w:tc>
          <w:tcPr>
            <w:tcW w:w="2830"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r>
          </w:p>
        </w:tc>
        <w:tc>
          <w:tcPr>
            <w:tcW w:w="269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Oficinas </w:t>
            </w:r>
          </w:p>
        </w:tc>
        <w:tc>
          <w:tcPr>
            <w:tcW w:w="113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45</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45</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45</w:t>
            </w:r>
          </w:p>
        </w:tc>
      </w:tr>
      <w:tr>
        <w:trPr>
          <w:trHeight w:val="312" w:hRule="atLeast"/>
        </w:trPr>
        <w:tc>
          <w:tcPr>
            <w:tcW w:w="2830"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Sanitario </w:t>
            </w:r>
          </w:p>
        </w:tc>
        <w:tc>
          <w:tcPr>
            <w:tcW w:w="269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Estancias </w:t>
            </w:r>
          </w:p>
        </w:tc>
        <w:tc>
          <w:tcPr>
            <w:tcW w:w="113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45</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45</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35</w:t>
            </w:r>
          </w:p>
        </w:tc>
      </w:tr>
      <w:tr>
        <w:trPr>
          <w:trHeight w:val="312" w:hRule="atLeast"/>
        </w:trPr>
        <w:tc>
          <w:tcPr>
            <w:tcW w:w="2830"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r>
          </w:p>
        </w:tc>
        <w:tc>
          <w:tcPr>
            <w:tcW w:w="269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Dormitorios </w:t>
            </w:r>
          </w:p>
        </w:tc>
        <w:tc>
          <w:tcPr>
            <w:tcW w:w="113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30</w:t>
            </w:r>
          </w:p>
        </w:tc>
      </w:tr>
      <w:tr>
        <w:trPr>
          <w:trHeight w:val="312" w:hRule="atLeast"/>
        </w:trPr>
        <w:tc>
          <w:tcPr>
            <w:tcW w:w="2830"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Educativo, Cultural </w:t>
            </w:r>
          </w:p>
        </w:tc>
        <w:tc>
          <w:tcPr>
            <w:tcW w:w="269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Aulas </w:t>
            </w:r>
          </w:p>
        </w:tc>
        <w:tc>
          <w:tcPr>
            <w:tcW w:w="113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40</w:t>
            </w:r>
          </w:p>
        </w:tc>
      </w:tr>
      <w:tr>
        <w:trPr>
          <w:trHeight w:val="312" w:hRule="atLeast"/>
        </w:trPr>
        <w:tc>
          <w:tcPr>
            <w:tcW w:w="2830"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r>
          </w:p>
        </w:tc>
        <w:tc>
          <w:tcPr>
            <w:tcW w:w="269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Salas de lectura </w:t>
            </w:r>
          </w:p>
        </w:tc>
        <w:tc>
          <w:tcPr>
            <w:tcW w:w="113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35</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35</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35</w:t>
            </w:r>
          </w:p>
        </w:tc>
      </w:tr>
    </w:tbl>
    <w:p>
      <w:pPr>
        <w:pStyle w:val="Estilo1"/>
        <w:numPr>
          <w:ilvl w:val="0"/>
          <w:numId w:val="5"/>
        </w:numPr>
        <w:spacing w:before="200" w:after="200"/>
        <w:ind w:hanging="360" w:left="284"/>
        <w:rPr>
          <w:rFonts w:ascii="Times New Roman" w:hAnsi="Times New Roman" w:cs="Times New Roman"/>
          <w:sz w:val="24"/>
          <w:szCs w:val="24"/>
        </w:rPr>
      </w:pPr>
      <w:r>
        <w:rPr>
          <w:rFonts w:cs="Times New Roman" w:ascii="Times New Roman" w:hAnsi="Times New Roman"/>
          <w:sz w:val="24"/>
          <w:szCs w:val="24"/>
        </w:rPr>
        <w:t>Los valores de la tabla se refieren a los índices de inmisión del ruido total que incide en el interior del recinto, procedente del conjunto de emisores acústicos ajenos a él (instalaciones del propio edificio, actividades que se desarrollan en el propio edificio o colindantes, ruido ambiental transmitido al interior, etc). Los objetivos de calidad de la tabla están referenciados a una altura de entre 1.2 y 1.5 m.</w:t>
      </w:r>
    </w:p>
    <w:p>
      <w:pPr>
        <w:pStyle w:val="Estilo1"/>
        <w:spacing w:before="200" w:after="200"/>
        <w:ind w:left="284"/>
        <w:rPr>
          <w:rFonts w:ascii="Times New Roman" w:hAnsi="Times New Roman" w:cs="Times New Roman"/>
          <w:sz w:val="24"/>
          <w:szCs w:val="24"/>
        </w:rPr>
      </w:pPr>
      <w:r>
        <w:rPr>
          <w:rFonts w:cs="Times New Roman" w:ascii="Times New Roman" w:hAnsi="Times New Roman"/>
          <w:sz w:val="24"/>
          <w:szCs w:val="24"/>
        </w:rPr>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t>TABLA I.5.- OBJETIVOS DE CALIDAD ACÚSTICA DE VIBRACIONES, APLICABLES AL ESPACIO INTERIOR HABITABLE DE EDIFICACIONES</w:t>
      </w:r>
    </w:p>
    <w:p>
      <w:pPr>
        <w:pStyle w:val="Estilo1"/>
        <w:ind w:right="141"/>
        <w:jc w:val="center"/>
        <w:rPr>
          <w:rFonts w:ascii="Times New Roman" w:hAnsi="Times New Roman" w:cs="Times New Roman"/>
          <w:b/>
          <w:sz w:val="24"/>
          <w:szCs w:val="24"/>
        </w:rPr>
      </w:pPr>
      <w:r>
        <w:rPr>
          <w:rFonts w:cs="Times New Roman" w:ascii="Times New Roman" w:hAnsi="Times New Roman"/>
          <w:b/>
          <w:sz w:val="24"/>
          <w:szCs w:val="24"/>
        </w:rPr>
      </w:r>
    </w:p>
    <w:tbl>
      <w:tblPr>
        <w:tblW w:w="552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199"/>
        <w:gridCol w:w="2320"/>
      </w:tblGrid>
      <w:tr>
        <w:trPr>
          <w:trHeight w:val="936" w:hRule="atLeast"/>
        </w:trPr>
        <w:tc>
          <w:tcPr>
            <w:tcW w:w="319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t xml:space="preserve">Uso del edificio </w:t>
            </w:r>
          </w:p>
        </w:tc>
        <w:tc>
          <w:tcPr>
            <w:tcW w:w="2320" w:type="dxa"/>
            <w:tcBorders>
              <w:top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t xml:space="preserve">Índice de vibraciones (1) (dB) </w:t>
            </w:r>
          </w:p>
        </w:tc>
      </w:tr>
      <w:tr>
        <w:trPr>
          <w:trHeight w:val="312" w:hRule="atLeast"/>
        </w:trPr>
        <w:tc>
          <w:tcPr>
            <w:tcW w:w="31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left"/>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r>
          </w:p>
        </w:tc>
        <w:tc>
          <w:tcPr>
            <w:tcW w:w="232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b/>
                <w:bCs/>
                <w:color w:val="000000"/>
                <w:sz w:val="24"/>
                <w:szCs w:val="24"/>
                <w:lang w:eastAsia="es-ES"/>
                <w14:ligatures w14:val="none"/>
              </w:rPr>
            </w:pPr>
            <w:r>
              <w:rPr>
                <w:rFonts w:eastAsia="Times New Roman" w:cs="Times New Roman" w:ascii="Times New Roman" w:hAnsi="Times New Roman"/>
                <w:b/>
                <w:bCs/>
                <w:color w:val="000000"/>
                <w:sz w:val="24"/>
                <w:szCs w:val="24"/>
                <w:lang w:eastAsia="es-ES"/>
                <w14:ligatures w14:val="none"/>
              </w:rPr>
              <w:t xml:space="preserve">Law </w:t>
            </w:r>
          </w:p>
        </w:tc>
      </w:tr>
      <w:tr>
        <w:trPr>
          <w:trHeight w:val="360" w:hRule="atLeast"/>
        </w:trPr>
        <w:tc>
          <w:tcPr>
            <w:tcW w:w="319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Hospitalario </w:t>
            </w:r>
          </w:p>
        </w:tc>
        <w:tc>
          <w:tcPr>
            <w:tcW w:w="232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72</w:t>
            </w:r>
          </w:p>
        </w:tc>
      </w:tr>
      <w:tr>
        <w:trPr>
          <w:trHeight w:val="360" w:hRule="atLeast"/>
        </w:trPr>
        <w:tc>
          <w:tcPr>
            <w:tcW w:w="319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Educativo, Cultural </w:t>
            </w:r>
          </w:p>
        </w:tc>
        <w:tc>
          <w:tcPr>
            <w:tcW w:w="232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72</w:t>
            </w:r>
          </w:p>
        </w:tc>
      </w:tr>
      <w:tr>
        <w:trPr>
          <w:trHeight w:val="360" w:hRule="atLeast"/>
        </w:trPr>
        <w:tc>
          <w:tcPr>
            <w:tcW w:w="319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Residencial </w:t>
            </w:r>
          </w:p>
        </w:tc>
        <w:tc>
          <w:tcPr>
            <w:tcW w:w="232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75</w:t>
            </w:r>
          </w:p>
        </w:tc>
      </w:tr>
      <w:tr>
        <w:trPr>
          <w:trHeight w:val="360" w:hRule="atLeast"/>
        </w:trPr>
        <w:tc>
          <w:tcPr>
            <w:tcW w:w="319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Administrativo, Oficinas </w:t>
            </w:r>
          </w:p>
        </w:tc>
        <w:tc>
          <w:tcPr>
            <w:tcW w:w="232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75</w:t>
            </w:r>
          </w:p>
        </w:tc>
      </w:tr>
      <w:tr>
        <w:trPr>
          <w:trHeight w:val="360" w:hRule="atLeast"/>
        </w:trPr>
        <w:tc>
          <w:tcPr>
            <w:tcW w:w="319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 xml:space="preserve">Comercial </w:t>
            </w:r>
          </w:p>
        </w:tc>
        <w:tc>
          <w:tcPr>
            <w:tcW w:w="232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4"/>
                <w:szCs w:val="24"/>
                <w:lang w:eastAsia="es-ES"/>
                <w14:ligatures w14:val="none"/>
              </w:rPr>
            </w:pPr>
            <w:r>
              <w:rPr>
                <w:rFonts w:eastAsia="Times New Roman" w:cs="Times New Roman" w:ascii="Times New Roman" w:hAnsi="Times New Roman"/>
                <w:color w:val="000000"/>
                <w:sz w:val="24"/>
                <w:szCs w:val="24"/>
                <w:lang w:eastAsia="es-ES"/>
                <w14:ligatures w14:val="none"/>
              </w:rPr>
              <w:t>90</w:t>
            </w:r>
          </w:p>
        </w:tc>
      </w:tr>
    </w:tbl>
    <w:p>
      <w:pPr>
        <w:pStyle w:val="Estilo1"/>
        <w:numPr>
          <w:ilvl w:val="0"/>
          <w:numId w:val="6"/>
        </w:numPr>
        <w:spacing w:before="200" w:after="200"/>
        <w:ind w:hanging="360" w:left="426"/>
        <w:rPr>
          <w:rFonts w:ascii="Times New Roman" w:hAnsi="Times New Roman" w:cs="Times New Roman"/>
          <w:sz w:val="24"/>
          <w:szCs w:val="24"/>
        </w:rPr>
      </w:pPr>
      <w:r>
        <w:rPr>
          <w:rFonts w:cs="Times New Roman" w:ascii="Times New Roman" w:hAnsi="Times New Roman"/>
          <w:sz w:val="24"/>
          <w:szCs w:val="24"/>
        </w:rPr>
        <w:t>Cuando se evalúen límites de vibraciones, en lugar de objetivos de calidad acústica de vibraciones, se aplicarán también los límites que correspondan de esta tabla en el interior de los receptores afectados.</w:t>
      </w:r>
    </w:p>
    <w:sectPr>
      <w:headerReference w:type="default" r:id="rId2"/>
      <w:footerReference w:type="default" r:id="rId3"/>
      <w:type w:val="nextPage"/>
      <w:pgSz w:w="11906" w:h="16838"/>
      <w:pgMar w:left="1560" w:right="1274" w:gutter="0" w:header="426" w:top="2127" w:footer="222" w:bottom="156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49863914"/>
    </w:sdtPr>
    <w:sdtContent>
      <w:p>
        <w:pPr>
          <w:pStyle w:val="Footer"/>
          <w:tabs>
            <w:tab w:val="clear" w:pos="8504"/>
            <w:tab w:val="center" w:pos="4252" w:leader="none"/>
          </w:tabs>
          <w:spacing w:before="100" w:after="0"/>
          <w:ind w:right="-142"/>
          <w:jc w:val="right"/>
          <w:rPr/>
        </w:pPr>
        <w:r>
          <w:rPr/>
          <w:fldChar w:fldCharType="begin"/>
        </w:r>
        <w:r>
          <w:rPr/>
          <w:instrText xml:space="preserve"> PAGE </w:instrText>
        </w:r>
        <w:r>
          <w:rPr/>
          <w:fldChar w:fldCharType="separate"/>
        </w:r>
        <w:r>
          <w:rPr/>
          <w:t>5</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00" w:after="0"/>
      <w:ind w:left="-567"/>
      <w:rPr/>
    </w:pPr>
    <w:r>
      <w:rPr/>
      <w:drawing>
        <wp:inline distT="0" distB="0" distL="0" distR="0">
          <wp:extent cx="810895" cy="848995"/>
          <wp:effectExtent l="0" t="0" r="0" b="0"/>
          <wp:docPr id="1"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tipo&#10;&#10;Descripción generada automáticamente"/>
                  <pic:cNvPicPr>
                    <a:picLocks noChangeAspect="1" noChangeArrowheads="1"/>
                  </pic:cNvPicPr>
                </pic:nvPicPr>
                <pic:blipFill>
                  <a:blip r:embed="rId1"/>
                  <a:stretch>
                    <a:fillRect/>
                  </a:stretch>
                </pic:blipFill>
                <pic:spPr bwMode="auto">
                  <a:xfrm>
                    <a:off x="0" y="0"/>
                    <a:ext cx="810895" cy="848995"/>
                  </a:xfrm>
                  <a:prstGeom prst="rect">
                    <a:avLst/>
                  </a:prstGeom>
                </pic:spPr>
              </pic:pic>
            </a:graphicData>
          </a:graphic>
        </wp:inline>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720"/>
      </w:pPr>
      <w:rPr/>
    </w:lvl>
    <w:lvl w:ilvl="1">
      <w:start w:val="1"/>
      <w:numFmt w:val="decimal"/>
      <w:lvlText w:val="%2."/>
      <w:lvlJc w:val="left"/>
      <w:pPr>
        <w:tabs>
          <w:tab w:val="num" w:pos="1440"/>
        </w:tabs>
        <w:ind w:left="1440" w:hanging="720"/>
      </w:pPr>
      <w:rPr/>
    </w:lvl>
    <w:lvl w:ilvl="2">
      <w:start w:val="1"/>
      <w:numFmt w:val="decimal"/>
      <w:lvlText w:val="%3."/>
      <w:lvlJc w:val="left"/>
      <w:pPr>
        <w:tabs>
          <w:tab w:val="num" w:pos="2160"/>
        </w:tabs>
        <w:ind w:left="2160" w:hanging="720"/>
      </w:pPr>
      <w:rPr/>
    </w:lvl>
    <w:lvl w:ilvl="3">
      <w:start w:val="1"/>
      <w:numFmt w:val="decimal"/>
      <w:lvlText w:val="%4."/>
      <w:lvlJc w:val="left"/>
      <w:pPr>
        <w:tabs>
          <w:tab w:val="num" w:pos="2880"/>
        </w:tabs>
        <w:ind w:left="2880" w:hanging="720"/>
      </w:pPr>
      <w:rPr/>
    </w:lvl>
    <w:lvl w:ilvl="4">
      <w:start w:val="1"/>
      <w:numFmt w:val="decimal"/>
      <w:lvlText w:val="%5."/>
      <w:lvlJc w:val="left"/>
      <w:pPr>
        <w:tabs>
          <w:tab w:val="num" w:pos="3600"/>
        </w:tabs>
        <w:ind w:left="3600" w:hanging="720"/>
      </w:pPr>
      <w:rPr/>
    </w:lvl>
    <w:lvl w:ilvl="5">
      <w:start w:val="1"/>
      <w:numFmt w:val="decimal"/>
      <w:lvlText w:val="%6."/>
      <w:lvlJc w:val="left"/>
      <w:pPr>
        <w:tabs>
          <w:tab w:val="num" w:pos="4320"/>
        </w:tabs>
        <w:ind w:left="4320" w:hanging="720"/>
      </w:pPr>
      <w:rPr/>
    </w:lvl>
    <w:lvl w:ilvl="6">
      <w:start w:val="1"/>
      <w:numFmt w:val="decimal"/>
      <w:lvlText w:val="%7."/>
      <w:lvlJc w:val="left"/>
      <w:pPr>
        <w:tabs>
          <w:tab w:val="num" w:pos="5040"/>
        </w:tabs>
        <w:ind w:left="5040" w:hanging="720"/>
      </w:pPr>
      <w:rPr/>
    </w:lvl>
    <w:lvl w:ilvl="7">
      <w:start w:val="1"/>
      <w:numFmt w:val="decimal"/>
      <w:lvlText w:val="%8."/>
      <w:lvlJc w:val="left"/>
      <w:pPr>
        <w:tabs>
          <w:tab w:val="num" w:pos="5760"/>
        </w:tabs>
        <w:ind w:left="5760" w:hanging="720"/>
      </w:pPr>
      <w:rPr/>
    </w:lvl>
    <w:lvl w:ilvl="8">
      <w:start w:val="1"/>
      <w:numFmt w:val="decimal"/>
      <w:lvlText w:val="%9."/>
      <w:lvlJc w:val="left"/>
      <w:pPr>
        <w:tabs>
          <w:tab w:val="num" w:pos="6480"/>
        </w:tabs>
        <w:ind w:left="6480" w:hanging="720"/>
      </w:pPr>
      <w:rPr/>
    </w:lvl>
  </w:abstractNum>
  <w:abstractNum w:abstractNumId="2">
    <w:lvl w:ilvl="0">
      <w:start w:val="1"/>
      <w:numFmt w:val="decimal"/>
      <w:lvlText w:val="(%1)"/>
      <w:lvlJc w:val="left"/>
      <w:pPr>
        <w:tabs>
          <w:tab w:val="num" w:pos="0"/>
        </w:tabs>
        <w:ind w:left="720" w:hanging="360"/>
      </w:pPr>
      <w:rPr>
        <w:b/>
        <w:bCs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720" w:hanging="360"/>
      </w:pPr>
      <w:rPr>
        <w:b/>
        <w:bCs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b/>
        <w:bCs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720" w:hanging="360"/>
      </w:pPr>
      <w:rPr>
        <w:b/>
        <w:bCs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720" w:hanging="360"/>
      </w:pPr>
      <w:rPr>
        <w:b/>
        <w:bCs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Arial" w:asciiTheme="minorHAnsi" w:cstheme="minorBidi" w:eastAsiaTheme="minorHAnsi" w:hAnsiTheme="minorHAnsi"/>
        <w:sz w:val="22"/>
        <w:szCs w:val="22"/>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57618"/>
    <w:pPr>
      <w:widowControl/>
      <w:bidi w:val="0"/>
      <w:spacing w:lineRule="atLeast" w:line="100" w:before="100" w:after="100"/>
      <w:jc w:val="both"/>
    </w:pPr>
    <w:rPr>
      <w:rFonts w:ascii="Aptos" w:hAnsi="Aptos" w:eastAsia="Aptos" w:cs="Arial" w:asciiTheme="minorHAnsi" w:cstheme="minorBidi" w:eastAsiaTheme="minorHAnsi" w:hAnsiTheme="minorHAnsi"/>
      <w:color w:val="auto"/>
      <w:kern w:val="0"/>
      <w:sz w:val="22"/>
      <w:szCs w:val="22"/>
      <w:lang w:val="es-ES" w:eastAsia="en-US" w:bidi="ar-SA"/>
      <w14:ligatures w14:val="standardContextual"/>
    </w:rPr>
  </w:style>
  <w:style w:type="paragraph" w:styleId="Heading1">
    <w:name w:val="Heading 1"/>
    <w:basedOn w:val="Normal"/>
    <w:next w:val="Normal"/>
    <w:link w:val="Ttulo1Car"/>
    <w:autoRedefine/>
    <w:uiPriority w:val="9"/>
    <w:qFormat/>
    <w:rsid w:val="00857618"/>
    <w:pPr>
      <w:keepNext w:val="true"/>
      <w:keepLines/>
      <w:spacing w:before="240" w:after="0"/>
      <w:outlineLvl w:val="0"/>
    </w:pPr>
    <w:rPr>
      <w:rFonts w:eastAsia="" w:cs="Times New Roman" w:cstheme="majorBidi" w:eastAsiaTheme="majorEastAsia"/>
      <w:b/>
      <w:sz w:val="24"/>
      <w:szCs w:val="32"/>
    </w:rPr>
  </w:style>
  <w:style w:type="paragraph" w:styleId="Heading2">
    <w:name w:val="Heading 2"/>
    <w:basedOn w:val="Normal"/>
    <w:next w:val="Normal"/>
    <w:link w:val="Ttulo2Car"/>
    <w:uiPriority w:val="9"/>
    <w:unhideWhenUsed/>
    <w:qFormat/>
    <w:rsid w:val="00857618"/>
    <w:pPr>
      <w:keepNext w:val="true"/>
      <w:keepLines/>
      <w:numPr>
        <w:ilvl w:val="0"/>
        <w:numId w:val="1"/>
      </w:numPr>
      <w:spacing w:before="160" w:after="120"/>
      <w:ind w:hanging="360"/>
      <w:outlineLvl w:val="1"/>
    </w:pPr>
    <w:rPr>
      <w:rFonts w:eastAsia="" w:cs="Times New Roman" w:cstheme="majorBidi" w:eastAsiaTheme="majorEastAsia"/>
      <w:b/>
      <w:sz w:val="24"/>
      <w:szCs w:val="26"/>
    </w:rPr>
  </w:style>
  <w:style w:type="paragraph" w:styleId="Heading3">
    <w:name w:val="Heading 3"/>
    <w:basedOn w:val="Normal"/>
    <w:next w:val="Normal"/>
    <w:link w:val="Ttulo3Car"/>
    <w:uiPriority w:val="9"/>
    <w:semiHidden/>
    <w:unhideWhenUsed/>
    <w:qFormat/>
    <w:rsid w:val="008c7034"/>
    <w:pPr>
      <w:keepNext w:val="true"/>
      <w:keepLines/>
      <w:spacing w:before="160" w:after="80"/>
      <w:outlineLvl w:val="2"/>
    </w:pPr>
    <w:rPr>
      <w:rFonts w:eastAsia="" w:cs="Times New Roman" w:cstheme="majorBidi" w:eastAsiaTheme="majorEastAsia"/>
      <w:color w:themeColor="accent1" w:themeShade="bf" w:val="0F4761"/>
      <w:sz w:val="28"/>
      <w:szCs w:val="28"/>
    </w:rPr>
  </w:style>
  <w:style w:type="paragraph" w:styleId="Heading4">
    <w:name w:val="Heading 4"/>
    <w:basedOn w:val="Normal"/>
    <w:next w:val="Normal"/>
    <w:link w:val="Ttulo4Car"/>
    <w:uiPriority w:val="9"/>
    <w:semiHidden/>
    <w:unhideWhenUsed/>
    <w:qFormat/>
    <w:rsid w:val="008c7034"/>
    <w:pPr>
      <w:keepNext w:val="true"/>
      <w:keepLines/>
      <w:spacing w:before="80" w:after="40"/>
      <w:outlineLvl w:val="3"/>
    </w:pPr>
    <w:rPr>
      <w:rFonts w:eastAsia="" w:cs="Times New Roman"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8c7034"/>
    <w:pPr>
      <w:keepNext w:val="true"/>
      <w:keepLines/>
      <w:spacing w:before="80" w:after="40"/>
      <w:outlineLvl w:val="4"/>
    </w:pPr>
    <w:rPr>
      <w:rFonts w:eastAsia="" w:cs="Times New Roman"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8c7034"/>
    <w:pPr>
      <w:keepNext w:val="true"/>
      <w:keepLines/>
      <w:spacing w:before="40" w:after="0"/>
      <w:outlineLvl w:val="5"/>
    </w:pPr>
    <w:rPr>
      <w:rFonts w:eastAsia="" w:cs="Times New Roman"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8c7034"/>
    <w:pPr>
      <w:keepNext w:val="true"/>
      <w:keepLines/>
      <w:spacing w:before="40" w:after="0"/>
      <w:outlineLvl w:val="6"/>
    </w:pPr>
    <w:rPr>
      <w:rFonts w:eastAsia="" w:cs="Times New Roman"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8c7034"/>
    <w:pPr>
      <w:keepNext w:val="true"/>
      <w:keepLines/>
      <w:spacing w:before="100" w:after="0"/>
      <w:outlineLvl w:val="7"/>
    </w:pPr>
    <w:rPr>
      <w:rFonts w:eastAsia="" w:cs="Times New Roman"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8c7034"/>
    <w:pPr>
      <w:keepNext w:val="true"/>
      <w:keepLines/>
      <w:spacing w:before="100" w:after="0"/>
      <w:outlineLvl w:val="8"/>
    </w:pPr>
    <w:rPr>
      <w:rFonts w:eastAsia="" w:cs="Times New Roman"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857618"/>
    <w:rPr>
      <w:rFonts w:eastAsia="" w:cs="Times New Roman" w:cstheme="majorBidi" w:eastAsiaTheme="majorEastAsia"/>
      <w:b/>
      <w:sz w:val="24"/>
      <w:szCs w:val="32"/>
    </w:rPr>
  </w:style>
  <w:style w:type="character" w:styleId="Ttulo2Car" w:customStyle="1">
    <w:name w:val="Título 2 Car"/>
    <w:basedOn w:val="DefaultParagraphFont"/>
    <w:uiPriority w:val="9"/>
    <w:qFormat/>
    <w:rsid w:val="00857618"/>
    <w:rPr>
      <w:rFonts w:eastAsia="" w:cs="Times New Roman" w:cstheme="majorBidi" w:eastAsiaTheme="majorEastAsia"/>
      <w:b/>
      <w:sz w:val="24"/>
      <w:szCs w:val="26"/>
    </w:rPr>
  </w:style>
  <w:style w:type="character" w:styleId="Ttulo3Car" w:customStyle="1">
    <w:name w:val="Título 3 Car"/>
    <w:basedOn w:val="DefaultParagraphFont"/>
    <w:uiPriority w:val="9"/>
    <w:semiHidden/>
    <w:qFormat/>
    <w:rsid w:val="008c7034"/>
    <w:rPr>
      <w:rFonts w:eastAsia="" w:cs="Times New Roman"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8c7034"/>
    <w:rPr>
      <w:rFonts w:eastAsia="" w:cs="Times New Roman"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8c7034"/>
    <w:rPr>
      <w:rFonts w:eastAsia="" w:cs="Times New Roman" w:cstheme="majorBidi" w:eastAsiaTheme="majorEastAsia"/>
      <w:color w:themeColor="accent1" w:themeShade="bf" w:val="0F4761"/>
    </w:rPr>
  </w:style>
  <w:style w:type="character" w:styleId="Ttulo6Car" w:customStyle="1">
    <w:name w:val="Título 6 Car"/>
    <w:basedOn w:val="DefaultParagraphFont"/>
    <w:uiPriority w:val="9"/>
    <w:semiHidden/>
    <w:qFormat/>
    <w:rsid w:val="008c7034"/>
    <w:rPr>
      <w:rFonts w:eastAsia="" w:cs="Times New Roman" w:cstheme="majorBidi" w:eastAsiaTheme="majorEastAsia"/>
      <w:i/>
      <w:iCs/>
      <w:color w:themeColor="text1" w:themeTint="a6" w:val="595959"/>
    </w:rPr>
  </w:style>
  <w:style w:type="character" w:styleId="Ttulo7Car" w:customStyle="1">
    <w:name w:val="Título 7 Car"/>
    <w:basedOn w:val="DefaultParagraphFont"/>
    <w:uiPriority w:val="9"/>
    <w:semiHidden/>
    <w:qFormat/>
    <w:rsid w:val="008c7034"/>
    <w:rPr>
      <w:rFonts w:eastAsia="" w:cs="Times New Roman" w:cstheme="majorBidi" w:eastAsiaTheme="majorEastAsia"/>
      <w:color w:themeColor="text1" w:themeTint="a6" w:val="595959"/>
    </w:rPr>
  </w:style>
  <w:style w:type="character" w:styleId="Ttulo8Car" w:customStyle="1">
    <w:name w:val="Título 8 Car"/>
    <w:basedOn w:val="DefaultParagraphFont"/>
    <w:uiPriority w:val="9"/>
    <w:semiHidden/>
    <w:qFormat/>
    <w:rsid w:val="008c7034"/>
    <w:rPr>
      <w:rFonts w:eastAsia="" w:cs="Times New Roman" w:cstheme="majorBidi" w:eastAsiaTheme="majorEastAsia"/>
      <w:i/>
      <w:iCs/>
      <w:color w:themeColor="text1" w:themeTint="d8" w:val="272727"/>
    </w:rPr>
  </w:style>
  <w:style w:type="character" w:styleId="Ttulo9Car" w:customStyle="1">
    <w:name w:val="Título 9 Car"/>
    <w:basedOn w:val="DefaultParagraphFont"/>
    <w:uiPriority w:val="9"/>
    <w:semiHidden/>
    <w:qFormat/>
    <w:rsid w:val="008c7034"/>
    <w:rPr>
      <w:rFonts w:eastAsia="" w:cs="Times New Roman" w:cstheme="majorBidi" w:eastAsiaTheme="majorEastAsia"/>
      <w:color w:themeColor="text1" w:themeTint="d8" w:val="272727"/>
    </w:rPr>
  </w:style>
  <w:style w:type="character" w:styleId="TtuloCar" w:customStyle="1">
    <w:name w:val="Título Car"/>
    <w:basedOn w:val="DefaultParagraphFont"/>
    <w:uiPriority w:val="10"/>
    <w:qFormat/>
    <w:rsid w:val="008c7034"/>
    <w:rPr>
      <w:rFonts w:ascii="Aptos Display" w:hAnsi="Aptos Display" w:eastAsia="" w:cs="Times New Roman"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8c7034"/>
    <w:rPr>
      <w:rFonts w:eastAsia="" w:cs="Times New Roman"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8c7034"/>
    <w:rPr>
      <w:i/>
      <w:iCs/>
      <w:color w:themeColor="text1" w:themeTint="bf" w:val="404040"/>
    </w:rPr>
  </w:style>
  <w:style w:type="character" w:styleId="IntenseEmphasis">
    <w:name w:val="Intense Emphasis"/>
    <w:basedOn w:val="DefaultParagraphFont"/>
    <w:uiPriority w:val="21"/>
    <w:qFormat/>
    <w:rsid w:val="008c7034"/>
    <w:rPr>
      <w:i/>
      <w:iCs/>
      <w:color w:themeColor="accent1" w:themeShade="bf" w:val="0F4761"/>
    </w:rPr>
  </w:style>
  <w:style w:type="character" w:styleId="CitadestacadaCar" w:customStyle="1">
    <w:name w:val="Cita destacada Car"/>
    <w:basedOn w:val="DefaultParagraphFont"/>
    <w:link w:val="IntenseQuote"/>
    <w:uiPriority w:val="30"/>
    <w:qFormat/>
    <w:rsid w:val="008c7034"/>
    <w:rPr>
      <w:i/>
      <w:iCs/>
      <w:color w:themeColor="accent1" w:themeShade="bf" w:val="0F4761"/>
    </w:rPr>
  </w:style>
  <w:style w:type="character" w:styleId="IntenseReference">
    <w:name w:val="Intense Reference"/>
    <w:basedOn w:val="DefaultParagraphFont"/>
    <w:uiPriority w:val="32"/>
    <w:qFormat/>
    <w:rsid w:val="008c7034"/>
    <w:rPr>
      <w:b/>
      <w:bCs/>
      <w:smallCaps/>
      <w:color w:themeColor="accent1" w:themeShade="bf" w:val="0F4761"/>
      <w:spacing w:val="5"/>
    </w:rPr>
  </w:style>
  <w:style w:type="character" w:styleId="Fuentedeprrafopredeter2" w:customStyle="1">
    <w:name w:val="Fuente de párrafo predeter.2"/>
    <w:qFormat/>
    <w:rsid w:val="00f85644"/>
    <w:rPr/>
  </w:style>
  <w:style w:type="character" w:styleId="EncabezadoCar" w:customStyle="1">
    <w:name w:val="Encabezado Car"/>
    <w:basedOn w:val="DefaultParagraphFont"/>
    <w:uiPriority w:val="99"/>
    <w:qFormat/>
    <w:rsid w:val="00f85644"/>
    <w:rPr/>
  </w:style>
  <w:style w:type="character" w:styleId="PiedepginaCar" w:customStyle="1">
    <w:name w:val="Pie de página Car"/>
    <w:basedOn w:val="DefaultParagraphFont"/>
    <w:uiPriority w:val="99"/>
    <w:qFormat/>
    <w:rsid w:val="00f85644"/>
    <w:rPr/>
  </w:style>
  <w:style w:type="character" w:styleId="Annotationreference">
    <w:name w:val="annotation reference"/>
    <w:basedOn w:val="DefaultParagraphFont"/>
    <w:uiPriority w:val="99"/>
    <w:semiHidden/>
    <w:unhideWhenUsed/>
    <w:qFormat/>
    <w:rsid w:val="005b7ec1"/>
    <w:rPr>
      <w:sz w:val="16"/>
      <w:szCs w:val="16"/>
    </w:rPr>
  </w:style>
  <w:style w:type="character" w:styleId="TextocomentarioCar" w:customStyle="1">
    <w:name w:val="Texto comentario Car"/>
    <w:basedOn w:val="DefaultParagraphFont"/>
    <w:link w:val="Annotationtext"/>
    <w:uiPriority w:val="99"/>
    <w:qFormat/>
    <w:rsid w:val="005b7ec1"/>
    <w:rPr>
      <w:sz w:val="20"/>
      <w:szCs w:val="20"/>
    </w:rPr>
  </w:style>
  <w:style w:type="character" w:styleId="AsuntodelcomentarioCar" w:customStyle="1">
    <w:name w:val="Asunto del comentario Car"/>
    <w:basedOn w:val="TextocomentarioCar"/>
    <w:link w:val="Annotationsubject"/>
    <w:uiPriority w:val="99"/>
    <w:semiHidden/>
    <w:qFormat/>
    <w:rsid w:val="005b7ec1"/>
    <w:rPr>
      <w:b/>
      <w:bCs/>
      <w:sz w:val="20"/>
      <w:szCs w:val="20"/>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8c7034"/>
    <w:pPr>
      <w:spacing w:lineRule="auto" w:line="240" w:before="100" w:after="80"/>
      <w:contextualSpacing/>
    </w:pPr>
    <w:rPr>
      <w:rFonts w:ascii="Aptos Display" w:hAnsi="Aptos Display" w:eastAsia="" w:cs="Times New Roman"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8c7034"/>
    <w:pPr/>
    <w:rPr>
      <w:rFonts w:eastAsia="" w:cs="Times New Roman"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8c7034"/>
    <w:pPr>
      <w:spacing w:before="160" w:after="100"/>
      <w:jc w:val="center"/>
    </w:pPr>
    <w:rPr>
      <w:i/>
      <w:iCs/>
      <w:color w:themeColor="text1" w:themeTint="bf" w:val="404040"/>
    </w:rPr>
  </w:style>
  <w:style w:type="paragraph" w:styleId="ListParagraph">
    <w:name w:val="List Paragraph"/>
    <w:basedOn w:val="Normal"/>
    <w:uiPriority w:val="34"/>
    <w:qFormat/>
    <w:rsid w:val="008c7034"/>
    <w:pPr>
      <w:spacing w:before="100" w:after="100"/>
      <w:ind w:left="720"/>
      <w:contextualSpacing/>
    </w:pPr>
    <w:rPr/>
  </w:style>
  <w:style w:type="paragraph" w:styleId="IntenseQuote">
    <w:name w:val="Intense Quote"/>
    <w:basedOn w:val="Normal"/>
    <w:next w:val="Normal"/>
    <w:link w:val="CitadestacadaCar"/>
    <w:uiPriority w:val="30"/>
    <w:qFormat/>
    <w:rsid w:val="008c7034"/>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Estilo1" w:customStyle="1">
    <w:name w:val="Estilo1"/>
    <w:basedOn w:val="NormalWeb"/>
    <w:qFormat/>
    <w:rsid w:val="00f85644"/>
    <w:pPr>
      <w:widowControl w:val="false"/>
      <w:suppressAutoHyphens w:val="true"/>
    </w:pPr>
    <w:rPr>
      <w:rFonts w:ascii="Arial" w:hAnsi="Arial" w:eastAsia="Times New Roman" w:cs="Arial"/>
      <w:bCs/>
      <w:kern w:val="2"/>
      <w:sz w:val="20"/>
      <w:szCs w:val="20"/>
      <w:lang w:eastAsia="ar-SA"/>
      <w14:ligatures w14:val="none"/>
    </w:rPr>
  </w:style>
  <w:style w:type="paragraph" w:styleId="NormalWeb">
    <w:name w:val="Normal (Web)"/>
    <w:basedOn w:val="Normal"/>
    <w:uiPriority w:val="99"/>
    <w:semiHidden/>
    <w:unhideWhenUsed/>
    <w:qFormat/>
    <w:rsid w:val="00f85644"/>
    <w:pPr/>
    <w:rPr>
      <w:rFonts w:ascii="Times New Roman" w:hAnsi="Times New Roman" w:cs="Times New Roman"/>
      <w:sz w:val="24"/>
      <w:szCs w:val="24"/>
    </w:rPr>
  </w:style>
  <w:style w:type="paragraph" w:styleId="Cabeceraypie">
    <w:name w:val="Cabecera y pie"/>
    <w:basedOn w:val="Normal"/>
    <w:qFormat/>
    <w:pPr/>
    <w:rPr/>
  </w:style>
  <w:style w:type="paragraph" w:styleId="Header">
    <w:name w:val="Header"/>
    <w:basedOn w:val="Normal"/>
    <w:link w:val="EncabezadoCar"/>
    <w:uiPriority w:val="99"/>
    <w:unhideWhenUsed/>
    <w:rsid w:val="00f85644"/>
    <w:pPr>
      <w:tabs>
        <w:tab w:val="clear" w:pos="708"/>
        <w:tab w:val="center" w:pos="4252" w:leader="none"/>
        <w:tab w:val="right" w:pos="8504" w:leader="none"/>
      </w:tabs>
      <w:spacing w:lineRule="auto" w:line="240" w:before="100" w:after="0"/>
    </w:pPr>
    <w:rPr/>
  </w:style>
  <w:style w:type="paragraph" w:styleId="Footer">
    <w:name w:val="Footer"/>
    <w:basedOn w:val="Normal"/>
    <w:link w:val="PiedepginaCar"/>
    <w:uiPriority w:val="99"/>
    <w:unhideWhenUsed/>
    <w:rsid w:val="00f85644"/>
    <w:pPr>
      <w:tabs>
        <w:tab w:val="clear" w:pos="708"/>
        <w:tab w:val="center" w:pos="4252" w:leader="none"/>
        <w:tab w:val="right" w:pos="8504" w:leader="none"/>
      </w:tabs>
      <w:spacing w:lineRule="auto" w:line="240" w:before="100" w:after="0"/>
    </w:pPr>
    <w:rPr/>
  </w:style>
  <w:style w:type="paragraph" w:styleId="Annotationtext">
    <w:name w:val="annotation text"/>
    <w:basedOn w:val="Normal"/>
    <w:link w:val="TextocomentarioCar"/>
    <w:uiPriority w:val="99"/>
    <w:unhideWhenUsed/>
    <w:qFormat/>
    <w:rsid w:val="005b7ec1"/>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5b7ec1"/>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77</TotalTime>
  <Application>LibreOffice/7.6.7.2$Windows_X86_64 LibreOffice_project/dd47e4b30cb7dab30588d6c79c651f218165e3c5</Application>
  <AppVersion>15.0000</AppVersion>
  <Pages>5</Pages>
  <Words>1008</Words>
  <Characters>5184</Characters>
  <CharactersWithSpaces>6070</CharactersWithSpaces>
  <Paragraphs>199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2025-01-20T11:22:00Z</dcterms:created>
  <dc:creator>David González Cagigal</dc:creator>
  <dc:description/>
  <dc:language>es-ES</dc:language>
  <cp:lastModifiedBy/>
  <dcterms:modified xsi:type="dcterms:W3CDTF">2025-10-21T11:46:39Z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