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B8F3FC" w14:textId="33F7AEE6" w:rsidR="00F85644" w:rsidRDefault="00F85644" w:rsidP="00F146A2">
      <w:pPr>
        <w:pStyle w:val="Estilo1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5644">
        <w:rPr>
          <w:rFonts w:ascii="Times New Roman" w:hAnsi="Times New Roman" w:cs="Times New Roman"/>
          <w:b/>
          <w:sz w:val="24"/>
          <w:szCs w:val="24"/>
        </w:rPr>
        <w:t xml:space="preserve">ANEXO </w:t>
      </w:r>
      <w:r w:rsidR="00484144">
        <w:rPr>
          <w:rFonts w:ascii="Times New Roman" w:hAnsi="Times New Roman" w:cs="Times New Roman"/>
          <w:b/>
          <w:sz w:val="24"/>
          <w:szCs w:val="24"/>
        </w:rPr>
        <w:t>I</w:t>
      </w:r>
      <w:r w:rsidRPr="00F85644">
        <w:rPr>
          <w:rFonts w:ascii="Times New Roman" w:hAnsi="Times New Roman" w:cs="Times New Roman"/>
          <w:b/>
          <w:sz w:val="24"/>
          <w:szCs w:val="24"/>
        </w:rPr>
        <w:t>I</w:t>
      </w:r>
      <w:r w:rsidR="00692943">
        <w:rPr>
          <w:rFonts w:ascii="Times New Roman" w:hAnsi="Times New Roman" w:cs="Times New Roman"/>
          <w:b/>
          <w:sz w:val="24"/>
          <w:szCs w:val="24"/>
        </w:rPr>
        <w:t>I</w:t>
      </w:r>
    </w:p>
    <w:p w14:paraId="775859AC" w14:textId="77777777" w:rsidR="00F85644" w:rsidRPr="00F85644" w:rsidRDefault="00F85644" w:rsidP="00F146A2">
      <w:pPr>
        <w:pStyle w:val="Estilo1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DD2D43" w14:textId="416D8F35" w:rsidR="00484144" w:rsidRDefault="00692943" w:rsidP="00F146A2">
      <w:pPr>
        <w:pStyle w:val="Estilo1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2943">
        <w:rPr>
          <w:rFonts w:ascii="Times New Roman" w:hAnsi="Times New Roman" w:cs="Times New Roman"/>
          <w:b/>
          <w:sz w:val="24"/>
          <w:szCs w:val="24"/>
        </w:rPr>
        <w:t>LÍMITES DE AISLAMIENTO ACÚSTICO A RUIDO DE IMPACTO Y DE TIEMPO DE REVERBERACIÓN</w:t>
      </w:r>
    </w:p>
    <w:p w14:paraId="46151A55" w14:textId="77777777" w:rsidR="00692943" w:rsidRPr="00F85644" w:rsidRDefault="00692943" w:rsidP="00F146A2">
      <w:pPr>
        <w:pStyle w:val="Estilo1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F64046" w14:textId="660B785C" w:rsidR="00484144" w:rsidRDefault="00692943" w:rsidP="00F146A2">
      <w:pPr>
        <w:pStyle w:val="Estilo1"/>
        <w:ind w:right="141"/>
        <w:jc w:val="center"/>
        <w:rPr>
          <w:rFonts w:ascii="Times New Roman" w:hAnsi="Times New Roman" w:cs="Times New Roman"/>
          <w:b/>
          <w:bCs w:val="0"/>
          <w:sz w:val="24"/>
          <w:szCs w:val="24"/>
        </w:rPr>
      </w:pPr>
      <w:r w:rsidRPr="00692943">
        <w:rPr>
          <w:rFonts w:ascii="Times New Roman" w:hAnsi="Times New Roman" w:cs="Times New Roman"/>
          <w:b/>
          <w:bCs w:val="0"/>
          <w:sz w:val="24"/>
          <w:szCs w:val="24"/>
        </w:rPr>
        <w:t>TABLA III.1- LÍMITES DE AISLAMIENTO ACÚSTICO A RUIDO DE IMPACTO</w:t>
      </w:r>
    </w:p>
    <w:p w14:paraId="2D4FBC5A" w14:textId="77777777" w:rsidR="00692943" w:rsidRDefault="00692943" w:rsidP="00F146A2">
      <w:pPr>
        <w:pStyle w:val="Estilo1"/>
        <w:ind w:right="141"/>
        <w:jc w:val="center"/>
        <w:rPr>
          <w:rFonts w:ascii="Times New Roman" w:hAnsi="Times New Roman" w:cs="Times New Roman"/>
          <w:b/>
          <w:bCs w:val="0"/>
          <w:sz w:val="24"/>
          <w:szCs w:val="24"/>
        </w:rPr>
      </w:pPr>
    </w:p>
    <w:tbl>
      <w:tblPr>
        <w:tblW w:w="821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60"/>
        <w:gridCol w:w="2505"/>
        <w:gridCol w:w="2552"/>
      </w:tblGrid>
      <w:tr w:rsidR="002A1B7B" w:rsidRPr="002A1B7B" w14:paraId="6EE8C46F" w14:textId="77777777" w:rsidTr="002A1B7B">
        <w:trPr>
          <w:trHeight w:val="372"/>
          <w:jc w:val="center"/>
        </w:trPr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C1250" w14:textId="77777777" w:rsidR="002A1B7B" w:rsidRPr="002A1B7B" w:rsidRDefault="002A1B7B" w:rsidP="002A1B7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2A1B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 xml:space="preserve">Uso del recinto receptor </w:t>
            </w:r>
          </w:p>
        </w:tc>
        <w:tc>
          <w:tcPr>
            <w:tcW w:w="2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72735" w14:textId="77777777" w:rsidR="002A1B7B" w:rsidRPr="002A1B7B" w:rsidRDefault="002A1B7B" w:rsidP="002A1B7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2A1B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L’</w:t>
            </w:r>
            <w:r w:rsidRPr="002A1B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es-ES"/>
                <w14:ligatures w14:val="none"/>
              </w:rPr>
              <w:t>nT,w</w:t>
            </w:r>
            <w:proofErr w:type="spellEnd"/>
            <w:r w:rsidRPr="002A1B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es-ES"/>
                <w14:ligatures w14:val="none"/>
              </w:rPr>
              <w:t xml:space="preserve"> </w:t>
            </w:r>
            <w:r w:rsidRPr="002A1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(07:00 a 23:00 h)</w:t>
            </w:r>
            <w:r w:rsidRPr="002A1B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7F32C" w14:textId="77777777" w:rsidR="002A1B7B" w:rsidRPr="002A1B7B" w:rsidRDefault="002A1B7B" w:rsidP="002A1B7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2A1B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L’</w:t>
            </w:r>
            <w:r w:rsidRPr="002A1B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es-ES"/>
                <w14:ligatures w14:val="none"/>
              </w:rPr>
              <w:t>nT,w</w:t>
            </w:r>
            <w:proofErr w:type="spellEnd"/>
            <w:r w:rsidRPr="002A1B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es-ES"/>
                <w14:ligatures w14:val="none"/>
              </w:rPr>
              <w:t xml:space="preserve"> </w:t>
            </w:r>
            <w:r w:rsidRPr="002A1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(23:00 a 07:00 h)</w:t>
            </w:r>
            <w:r w:rsidRPr="002A1B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 xml:space="preserve"> </w:t>
            </w:r>
          </w:p>
        </w:tc>
      </w:tr>
      <w:tr w:rsidR="002A1B7B" w:rsidRPr="002A1B7B" w14:paraId="0C3BC7EB" w14:textId="77777777" w:rsidTr="002A1B7B">
        <w:trPr>
          <w:trHeight w:val="360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4D447" w14:textId="77777777" w:rsidR="002A1B7B" w:rsidRPr="002A1B7B" w:rsidRDefault="002A1B7B" w:rsidP="002A1B7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2A1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Piezas habitables (1) 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08EAC" w14:textId="77777777" w:rsidR="002A1B7B" w:rsidRPr="002A1B7B" w:rsidRDefault="002A1B7B" w:rsidP="002A1B7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2A1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≤ 40 dB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E1F19" w14:textId="77777777" w:rsidR="002A1B7B" w:rsidRPr="002A1B7B" w:rsidRDefault="002A1B7B" w:rsidP="002A1B7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2A1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≤ 35 dB </w:t>
            </w:r>
          </w:p>
        </w:tc>
      </w:tr>
      <w:tr w:rsidR="002A1B7B" w:rsidRPr="002A1B7B" w14:paraId="5C73EE96" w14:textId="77777777" w:rsidTr="002A1B7B">
        <w:trPr>
          <w:trHeight w:val="624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140EF" w14:textId="77777777" w:rsidR="002A1B7B" w:rsidRPr="002A1B7B" w:rsidRDefault="002A1B7B" w:rsidP="002A1B7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2A1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Resto de recintos habitables definidos en el CTE (2) 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5045D" w14:textId="77777777" w:rsidR="002A1B7B" w:rsidRPr="002A1B7B" w:rsidRDefault="002A1B7B" w:rsidP="002A1B7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2A1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≤ 45 dB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54139" w14:textId="77777777" w:rsidR="002A1B7B" w:rsidRPr="002A1B7B" w:rsidRDefault="002A1B7B" w:rsidP="002A1B7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2A1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≤ 40 dB </w:t>
            </w:r>
          </w:p>
        </w:tc>
      </w:tr>
    </w:tbl>
    <w:p w14:paraId="4ACAFF14" w14:textId="09DAA624" w:rsidR="002A1B7B" w:rsidRPr="007F196D" w:rsidRDefault="007F196D" w:rsidP="00CD0C64">
      <w:pPr>
        <w:pStyle w:val="Estilo1"/>
        <w:numPr>
          <w:ilvl w:val="0"/>
          <w:numId w:val="9"/>
        </w:numPr>
        <w:spacing w:before="200" w:after="200"/>
        <w:ind w:left="426"/>
        <w:rPr>
          <w:rFonts w:ascii="Times New Roman" w:hAnsi="Times New Roman" w:cs="Times New Roman"/>
          <w:sz w:val="24"/>
          <w:szCs w:val="24"/>
        </w:rPr>
      </w:pPr>
      <w:r w:rsidRPr="007F196D">
        <w:rPr>
          <w:rFonts w:ascii="Times New Roman" w:hAnsi="Times New Roman" w:cs="Times New Roman"/>
          <w:sz w:val="24"/>
          <w:szCs w:val="24"/>
        </w:rPr>
        <w:t>Tendr</w:t>
      </w:r>
      <w:r w:rsidRPr="007F196D">
        <w:rPr>
          <w:rFonts w:ascii="Times New Roman" w:hAnsi="Times New Roman" w:cs="Times New Roman" w:hint="eastAsia"/>
          <w:sz w:val="24"/>
          <w:szCs w:val="24"/>
        </w:rPr>
        <w:t>á</w:t>
      </w:r>
      <w:r w:rsidRPr="007F196D">
        <w:rPr>
          <w:rFonts w:ascii="Times New Roman" w:hAnsi="Times New Roman" w:cs="Times New Roman"/>
          <w:sz w:val="24"/>
          <w:szCs w:val="24"/>
        </w:rPr>
        <w:t xml:space="preserve"> la consideraci</w:t>
      </w:r>
      <w:r w:rsidRPr="007F196D">
        <w:rPr>
          <w:rFonts w:ascii="Times New Roman" w:hAnsi="Times New Roman" w:cs="Times New Roman" w:hint="eastAsia"/>
          <w:sz w:val="24"/>
          <w:szCs w:val="24"/>
        </w:rPr>
        <w:t>ó</w:t>
      </w:r>
      <w:r w:rsidRPr="007F196D">
        <w:rPr>
          <w:rFonts w:ascii="Times New Roman" w:hAnsi="Times New Roman" w:cs="Times New Roman"/>
          <w:sz w:val="24"/>
          <w:szCs w:val="24"/>
        </w:rPr>
        <w:t>n de pieza habitable toda aquella que re</w:t>
      </w:r>
      <w:r w:rsidRPr="007F196D">
        <w:rPr>
          <w:rFonts w:ascii="Times New Roman" w:hAnsi="Times New Roman" w:cs="Times New Roman" w:hint="eastAsia"/>
          <w:sz w:val="24"/>
          <w:szCs w:val="24"/>
        </w:rPr>
        <w:t>ú</w:t>
      </w:r>
      <w:r w:rsidRPr="007F196D">
        <w:rPr>
          <w:rFonts w:ascii="Times New Roman" w:hAnsi="Times New Roman" w:cs="Times New Roman"/>
          <w:sz w:val="24"/>
          <w:szCs w:val="24"/>
        </w:rPr>
        <w:t>na las</w:t>
      </w:r>
      <w:r w:rsidRPr="007F196D">
        <w:rPr>
          <w:rFonts w:ascii="Times New Roman" w:hAnsi="Times New Roman" w:cs="Times New Roman"/>
          <w:sz w:val="24"/>
          <w:szCs w:val="24"/>
        </w:rPr>
        <w:t xml:space="preserve"> </w:t>
      </w:r>
      <w:r w:rsidRPr="007F196D">
        <w:rPr>
          <w:rFonts w:ascii="Times New Roman" w:hAnsi="Times New Roman" w:cs="Times New Roman"/>
          <w:sz w:val="24"/>
          <w:szCs w:val="24"/>
        </w:rPr>
        <w:t>condiciones para desarrollar en ella actividades que impliquen la permanencia prolongada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196D">
        <w:rPr>
          <w:rFonts w:ascii="Times New Roman" w:hAnsi="Times New Roman" w:cs="Times New Roman"/>
          <w:sz w:val="24"/>
          <w:szCs w:val="24"/>
        </w:rPr>
        <w:t>de personas</w:t>
      </w:r>
      <w:r w:rsidR="002A1B7B" w:rsidRPr="007F196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2A9639A" w14:textId="110F0FB7" w:rsidR="006924FE" w:rsidRPr="002A1B7B" w:rsidRDefault="002A1B7B" w:rsidP="002A1B7B">
      <w:pPr>
        <w:pStyle w:val="Estilo1"/>
        <w:numPr>
          <w:ilvl w:val="0"/>
          <w:numId w:val="9"/>
        </w:numPr>
        <w:spacing w:before="200" w:after="200"/>
        <w:ind w:left="426"/>
        <w:rPr>
          <w:rFonts w:ascii="Times New Roman" w:hAnsi="Times New Roman" w:cs="Times New Roman"/>
          <w:sz w:val="24"/>
          <w:szCs w:val="24"/>
        </w:rPr>
      </w:pPr>
      <w:r w:rsidRPr="002A1B7B">
        <w:rPr>
          <w:rFonts w:ascii="Times New Roman" w:hAnsi="Times New Roman" w:cs="Times New Roman"/>
          <w:sz w:val="24"/>
          <w:szCs w:val="24"/>
        </w:rPr>
        <w:t xml:space="preserve">Se incluyen los recintos habitables definidos en el CTE que no tengan la consideración de pieza habitable conforme a la definición </w:t>
      </w:r>
      <w:r w:rsidR="007F196D">
        <w:rPr>
          <w:rFonts w:ascii="Times New Roman" w:hAnsi="Times New Roman" w:cs="Times New Roman"/>
          <w:sz w:val="24"/>
          <w:szCs w:val="24"/>
        </w:rPr>
        <w:t>anterior</w:t>
      </w:r>
      <w:r w:rsidRPr="002A1B7B">
        <w:rPr>
          <w:rFonts w:ascii="Times New Roman" w:hAnsi="Times New Roman" w:cs="Times New Roman"/>
          <w:sz w:val="24"/>
          <w:szCs w:val="24"/>
        </w:rPr>
        <w:t>.</w:t>
      </w:r>
    </w:p>
    <w:p w14:paraId="22B76BE4" w14:textId="77777777" w:rsidR="0090673D" w:rsidRPr="002A1B7B" w:rsidRDefault="0090673D" w:rsidP="0090673D">
      <w:pPr>
        <w:pStyle w:val="Estilo1"/>
        <w:ind w:right="141"/>
        <w:jc w:val="center"/>
        <w:rPr>
          <w:rFonts w:ascii="Times New Roman" w:hAnsi="Times New Roman" w:cs="Times New Roman"/>
          <w:b/>
          <w:bCs w:val="0"/>
          <w:sz w:val="12"/>
          <w:szCs w:val="12"/>
        </w:rPr>
      </w:pPr>
    </w:p>
    <w:p w14:paraId="2A14B30B" w14:textId="2EEDD4C9" w:rsidR="006924FE" w:rsidRDefault="002A1B7B" w:rsidP="0090673D">
      <w:pPr>
        <w:pStyle w:val="Estilo1"/>
        <w:ind w:right="141"/>
        <w:jc w:val="center"/>
        <w:rPr>
          <w:rFonts w:ascii="Times New Roman" w:hAnsi="Times New Roman" w:cs="Times New Roman"/>
          <w:b/>
          <w:bCs w:val="0"/>
          <w:sz w:val="24"/>
          <w:szCs w:val="24"/>
        </w:rPr>
      </w:pPr>
      <w:r w:rsidRPr="002A1B7B">
        <w:rPr>
          <w:rFonts w:ascii="Times New Roman" w:hAnsi="Times New Roman" w:cs="Times New Roman"/>
          <w:b/>
          <w:bCs w:val="0"/>
          <w:sz w:val="24"/>
          <w:szCs w:val="24"/>
        </w:rPr>
        <w:t>TABLA III.2- LÍMITES DE TIEMPO DE REVERBERACIÓN</w:t>
      </w:r>
    </w:p>
    <w:p w14:paraId="4C03975A" w14:textId="77777777" w:rsidR="002A1B7B" w:rsidRPr="002A1B7B" w:rsidRDefault="002A1B7B" w:rsidP="0090673D">
      <w:pPr>
        <w:pStyle w:val="Estilo1"/>
        <w:ind w:right="141"/>
        <w:jc w:val="center"/>
        <w:rPr>
          <w:rFonts w:ascii="Times New Roman" w:hAnsi="Times New Roman" w:cs="Times New Roman"/>
          <w:b/>
          <w:bCs w:val="0"/>
          <w:sz w:val="12"/>
          <w:szCs w:val="12"/>
        </w:rPr>
      </w:pP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20"/>
        <w:gridCol w:w="1940"/>
      </w:tblGrid>
      <w:tr w:rsidR="002A1B7B" w:rsidRPr="002A1B7B" w14:paraId="626EAA0C" w14:textId="77777777" w:rsidTr="002A1B7B">
        <w:trPr>
          <w:trHeight w:val="936"/>
        </w:trPr>
        <w:tc>
          <w:tcPr>
            <w:tcW w:w="6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C3AD5" w14:textId="77777777" w:rsidR="002A1B7B" w:rsidRPr="002A1B7B" w:rsidRDefault="002A1B7B" w:rsidP="002A1B7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2A1B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 xml:space="preserve">Recinto o actividad 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9B62D" w14:textId="77777777" w:rsidR="002A1B7B" w:rsidRPr="002A1B7B" w:rsidRDefault="002A1B7B" w:rsidP="002A1B7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2A1B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 xml:space="preserve">Valor límite de tiempo de reverberación </w:t>
            </w:r>
          </w:p>
        </w:tc>
      </w:tr>
      <w:tr w:rsidR="002A1B7B" w:rsidRPr="002A1B7B" w14:paraId="13F189B1" w14:textId="77777777" w:rsidTr="002A1B7B">
        <w:trPr>
          <w:trHeight w:val="360"/>
        </w:trPr>
        <w:tc>
          <w:tcPr>
            <w:tcW w:w="6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E760F" w14:textId="77777777" w:rsidR="002A1B7B" w:rsidRPr="002A1B7B" w:rsidRDefault="002A1B7B" w:rsidP="002A1B7B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2A1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Aulas vacías, V&lt;350m3 (sin ocupación ni mobiliario)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40645" w14:textId="77777777" w:rsidR="002A1B7B" w:rsidRPr="002A1B7B" w:rsidRDefault="002A1B7B" w:rsidP="002A1B7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2A1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T ≤ 0,7 s </w:t>
            </w:r>
          </w:p>
        </w:tc>
      </w:tr>
      <w:tr w:rsidR="002A1B7B" w:rsidRPr="002A1B7B" w14:paraId="1D050DB2" w14:textId="77777777" w:rsidTr="002A1B7B">
        <w:trPr>
          <w:trHeight w:val="360"/>
        </w:trPr>
        <w:tc>
          <w:tcPr>
            <w:tcW w:w="6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C1242" w14:textId="77777777" w:rsidR="002A1B7B" w:rsidRPr="002A1B7B" w:rsidRDefault="002A1B7B" w:rsidP="002A1B7B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2A1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Salas de conferencias vacías, V&lt;350m3 (sin ocupación ni mobiliario)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54856" w14:textId="77777777" w:rsidR="002A1B7B" w:rsidRPr="002A1B7B" w:rsidRDefault="002A1B7B" w:rsidP="002A1B7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2A1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T ≤ 0,7 s </w:t>
            </w:r>
          </w:p>
        </w:tc>
      </w:tr>
      <w:tr w:rsidR="002A1B7B" w:rsidRPr="002A1B7B" w14:paraId="706554CC" w14:textId="77777777" w:rsidTr="002A1B7B">
        <w:trPr>
          <w:trHeight w:val="360"/>
        </w:trPr>
        <w:tc>
          <w:tcPr>
            <w:tcW w:w="6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B2247" w14:textId="77777777" w:rsidR="002A1B7B" w:rsidRPr="002A1B7B" w:rsidRDefault="002A1B7B" w:rsidP="002A1B7B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2A1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Auditorios cerrados vacíos, V&lt;350m3 (sin ocupación ni mobiliario)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EFBFA" w14:textId="77777777" w:rsidR="002A1B7B" w:rsidRPr="002A1B7B" w:rsidRDefault="002A1B7B" w:rsidP="002A1B7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2A1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T ≤ 0,7 s </w:t>
            </w:r>
          </w:p>
        </w:tc>
      </w:tr>
      <w:tr w:rsidR="002A1B7B" w:rsidRPr="002A1B7B" w14:paraId="19B24DBD" w14:textId="77777777" w:rsidTr="002A1B7B">
        <w:trPr>
          <w:trHeight w:val="360"/>
        </w:trPr>
        <w:tc>
          <w:tcPr>
            <w:tcW w:w="6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3120A" w14:textId="77777777" w:rsidR="002A1B7B" w:rsidRPr="002A1B7B" w:rsidRDefault="002A1B7B" w:rsidP="002A1B7B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2A1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Aulas sin ocupación pero con mobiliario, V&lt;350m3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7F442" w14:textId="77777777" w:rsidR="002A1B7B" w:rsidRPr="002A1B7B" w:rsidRDefault="002A1B7B" w:rsidP="002A1B7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2A1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T ≤ 0,5 s </w:t>
            </w:r>
          </w:p>
        </w:tc>
      </w:tr>
      <w:tr w:rsidR="002A1B7B" w:rsidRPr="002A1B7B" w14:paraId="2A737658" w14:textId="77777777" w:rsidTr="002A1B7B">
        <w:trPr>
          <w:trHeight w:val="360"/>
        </w:trPr>
        <w:tc>
          <w:tcPr>
            <w:tcW w:w="6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D0341" w14:textId="77777777" w:rsidR="002A1B7B" w:rsidRPr="002A1B7B" w:rsidRDefault="002A1B7B" w:rsidP="002A1B7B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2A1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Salas de conferencias sin ocupación pero con mobiliario, V&lt;350m3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2CC46" w14:textId="77777777" w:rsidR="002A1B7B" w:rsidRPr="002A1B7B" w:rsidRDefault="002A1B7B" w:rsidP="002A1B7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2A1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T ≤ 0,5 s </w:t>
            </w:r>
          </w:p>
        </w:tc>
      </w:tr>
      <w:tr w:rsidR="002A1B7B" w:rsidRPr="002A1B7B" w14:paraId="21943C43" w14:textId="77777777" w:rsidTr="002A1B7B">
        <w:trPr>
          <w:trHeight w:val="360"/>
        </w:trPr>
        <w:tc>
          <w:tcPr>
            <w:tcW w:w="6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FCA70" w14:textId="77777777" w:rsidR="002A1B7B" w:rsidRPr="002A1B7B" w:rsidRDefault="002A1B7B" w:rsidP="002A1B7B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2A1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Auditorios cerrados sin ocupación pero con mobiliarios, V&lt;350m3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5F491" w14:textId="77777777" w:rsidR="002A1B7B" w:rsidRPr="002A1B7B" w:rsidRDefault="002A1B7B" w:rsidP="002A1B7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2A1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T ≤ 0,5 s </w:t>
            </w:r>
          </w:p>
        </w:tc>
      </w:tr>
      <w:tr w:rsidR="002A1B7B" w:rsidRPr="002A1B7B" w14:paraId="33ED2051" w14:textId="77777777" w:rsidTr="002A1B7B">
        <w:trPr>
          <w:trHeight w:val="360"/>
        </w:trPr>
        <w:tc>
          <w:tcPr>
            <w:tcW w:w="6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8AB28" w14:textId="77777777" w:rsidR="002A1B7B" w:rsidRPr="002A1B7B" w:rsidRDefault="002A1B7B" w:rsidP="002A1B7B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2A1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Comedores vacíos (sin ocupación ni mobiliario)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B0F0C" w14:textId="77777777" w:rsidR="002A1B7B" w:rsidRPr="002A1B7B" w:rsidRDefault="002A1B7B" w:rsidP="002A1B7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2A1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T ≤ 0,9 s </w:t>
            </w:r>
          </w:p>
        </w:tc>
      </w:tr>
      <w:tr w:rsidR="002A1B7B" w:rsidRPr="002A1B7B" w14:paraId="77D954DB" w14:textId="77777777" w:rsidTr="002A1B7B">
        <w:trPr>
          <w:trHeight w:val="360"/>
        </w:trPr>
        <w:tc>
          <w:tcPr>
            <w:tcW w:w="6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D9EEA" w14:textId="77777777" w:rsidR="002A1B7B" w:rsidRPr="002A1B7B" w:rsidRDefault="002A1B7B" w:rsidP="002A1B7B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2A1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Cafés-teatro vacíos (sin ocupación ni mobiliario)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64887" w14:textId="77777777" w:rsidR="002A1B7B" w:rsidRPr="002A1B7B" w:rsidRDefault="002A1B7B" w:rsidP="002A1B7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2A1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T ≤ 0,9 s </w:t>
            </w:r>
          </w:p>
        </w:tc>
      </w:tr>
      <w:tr w:rsidR="002A1B7B" w:rsidRPr="002A1B7B" w14:paraId="4AABFCA4" w14:textId="77777777" w:rsidTr="002A1B7B">
        <w:trPr>
          <w:trHeight w:val="360"/>
        </w:trPr>
        <w:tc>
          <w:tcPr>
            <w:tcW w:w="6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95263" w14:textId="77777777" w:rsidR="002A1B7B" w:rsidRPr="002A1B7B" w:rsidRDefault="002A1B7B" w:rsidP="002A1B7B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2A1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(1) Actividades de hostelería vacías (sin ocupación ni mobiliario)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A917A" w14:textId="77777777" w:rsidR="002A1B7B" w:rsidRPr="002A1B7B" w:rsidRDefault="002A1B7B" w:rsidP="002A1B7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2A1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T ≤ 0,9 s </w:t>
            </w:r>
          </w:p>
        </w:tc>
      </w:tr>
      <w:tr w:rsidR="002A1B7B" w:rsidRPr="002A1B7B" w14:paraId="5EAA4E43" w14:textId="77777777" w:rsidTr="002A1B7B">
        <w:trPr>
          <w:trHeight w:val="360"/>
        </w:trPr>
        <w:tc>
          <w:tcPr>
            <w:tcW w:w="6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7FB37" w14:textId="77777777" w:rsidR="002A1B7B" w:rsidRPr="002A1B7B" w:rsidRDefault="002A1B7B" w:rsidP="002A1B7B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2A1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(2) Actividades de esparcimiento vacías (sin ocupación ni mobiliario)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D4C71" w14:textId="77777777" w:rsidR="002A1B7B" w:rsidRPr="002A1B7B" w:rsidRDefault="002A1B7B" w:rsidP="002A1B7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2A1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T ≤ 0,9 s </w:t>
            </w:r>
          </w:p>
        </w:tc>
      </w:tr>
      <w:tr w:rsidR="002A1B7B" w:rsidRPr="002A1B7B" w14:paraId="4238B6D1" w14:textId="77777777" w:rsidTr="002A1B7B">
        <w:trPr>
          <w:trHeight w:val="360"/>
        </w:trPr>
        <w:tc>
          <w:tcPr>
            <w:tcW w:w="6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9378E" w14:textId="77777777" w:rsidR="002A1B7B" w:rsidRPr="002A1B7B" w:rsidRDefault="002A1B7B" w:rsidP="002A1B7B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2A1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(3) Recintos o actividades similares a los cuatro anteriores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52CE9" w14:textId="77777777" w:rsidR="002A1B7B" w:rsidRPr="002A1B7B" w:rsidRDefault="002A1B7B" w:rsidP="002A1B7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2A1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T ≤ 0,9 s </w:t>
            </w:r>
          </w:p>
        </w:tc>
      </w:tr>
    </w:tbl>
    <w:p w14:paraId="5DEA4D98" w14:textId="5AC1965D" w:rsidR="002A1B7B" w:rsidRPr="002A1B7B" w:rsidRDefault="002A1B7B" w:rsidP="002A1B7B">
      <w:pPr>
        <w:pStyle w:val="Estilo1"/>
        <w:numPr>
          <w:ilvl w:val="0"/>
          <w:numId w:val="11"/>
        </w:numPr>
        <w:spacing w:before="200" w:after="200"/>
        <w:ind w:left="426"/>
        <w:rPr>
          <w:rFonts w:ascii="Times New Roman" w:hAnsi="Times New Roman" w:cs="Times New Roman"/>
          <w:sz w:val="24"/>
          <w:szCs w:val="24"/>
        </w:rPr>
      </w:pPr>
      <w:r w:rsidRPr="002A1B7B">
        <w:rPr>
          <w:rFonts w:ascii="Times New Roman" w:hAnsi="Times New Roman" w:cs="Times New Roman"/>
          <w:sz w:val="24"/>
          <w:szCs w:val="24"/>
        </w:rPr>
        <w:t xml:space="preserve">según se definen en el </w:t>
      </w:r>
      <w:r w:rsidR="007F196D" w:rsidRPr="007F196D">
        <w:rPr>
          <w:rFonts w:ascii="Times New Roman" w:hAnsi="Times New Roman" w:cs="Times New Roman"/>
          <w:sz w:val="24"/>
          <w:szCs w:val="24"/>
        </w:rPr>
        <w:t>Decreto 155/2018, de 31 de julio</w:t>
      </w:r>
      <w:r w:rsidRPr="002A1B7B">
        <w:rPr>
          <w:rFonts w:ascii="Times New Roman" w:hAnsi="Times New Roman" w:cs="Times New Roman"/>
          <w:sz w:val="24"/>
          <w:szCs w:val="24"/>
        </w:rPr>
        <w:t xml:space="preserve">, salvo bares quiosco. </w:t>
      </w:r>
    </w:p>
    <w:p w14:paraId="00AF9C4F" w14:textId="39C44F5E" w:rsidR="002A1B7B" w:rsidRPr="002A1B7B" w:rsidRDefault="002A1B7B" w:rsidP="002A1B7B">
      <w:pPr>
        <w:pStyle w:val="Estilo1"/>
        <w:numPr>
          <w:ilvl w:val="0"/>
          <w:numId w:val="11"/>
        </w:numPr>
        <w:spacing w:before="200" w:after="200"/>
        <w:ind w:left="426"/>
        <w:rPr>
          <w:rFonts w:ascii="Times New Roman" w:hAnsi="Times New Roman" w:cs="Times New Roman"/>
          <w:sz w:val="24"/>
          <w:szCs w:val="24"/>
        </w:rPr>
      </w:pPr>
      <w:r w:rsidRPr="002A1B7B">
        <w:rPr>
          <w:rFonts w:ascii="Times New Roman" w:hAnsi="Times New Roman" w:cs="Times New Roman"/>
          <w:sz w:val="24"/>
          <w:szCs w:val="24"/>
        </w:rPr>
        <w:t xml:space="preserve">según se definen en el </w:t>
      </w:r>
      <w:r w:rsidR="007F196D" w:rsidRPr="007F196D">
        <w:rPr>
          <w:rFonts w:ascii="Times New Roman" w:hAnsi="Times New Roman" w:cs="Times New Roman"/>
          <w:sz w:val="24"/>
          <w:szCs w:val="24"/>
        </w:rPr>
        <w:t>Decreto 155/2018, de 31 de julio</w:t>
      </w:r>
      <w:r w:rsidRPr="002A1B7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69CCA6E" w14:textId="0E508253" w:rsidR="002A1B7B" w:rsidRPr="002A1B7B" w:rsidRDefault="002A1B7B" w:rsidP="002A1B7B">
      <w:pPr>
        <w:pStyle w:val="Estilo1"/>
        <w:numPr>
          <w:ilvl w:val="0"/>
          <w:numId w:val="11"/>
        </w:numPr>
        <w:spacing w:before="200" w:after="200"/>
        <w:ind w:left="426"/>
        <w:rPr>
          <w:rFonts w:ascii="Times New Roman" w:hAnsi="Times New Roman" w:cs="Times New Roman"/>
          <w:sz w:val="24"/>
          <w:szCs w:val="24"/>
        </w:rPr>
      </w:pPr>
      <w:r w:rsidRPr="002A1B7B">
        <w:rPr>
          <w:rFonts w:ascii="Times New Roman" w:hAnsi="Times New Roman" w:cs="Times New Roman"/>
          <w:sz w:val="24"/>
          <w:szCs w:val="24"/>
        </w:rPr>
        <w:t>vacíos (sin ocupación ni mobiliario).</w:t>
      </w:r>
    </w:p>
    <w:sectPr w:rsidR="002A1B7B" w:rsidRPr="002A1B7B" w:rsidSect="002A1B7B">
      <w:headerReference w:type="default" r:id="rId7"/>
      <w:footerReference w:type="default" r:id="rId8"/>
      <w:pgSz w:w="11906" w:h="16838"/>
      <w:pgMar w:top="2127" w:right="1274" w:bottom="1418" w:left="1560" w:header="426" w:footer="2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DEBDF1" w14:textId="77777777" w:rsidR="00CC5B29" w:rsidRDefault="00CC5B29" w:rsidP="00F85644">
      <w:pPr>
        <w:spacing w:before="0" w:after="0" w:line="240" w:lineRule="auto"/>
      </w:pPr>
      <w:r>
        <w:separator/>
      </w:r>
    </w:p>
  </w:endnote>
  <w:endnote w:type="continuationSeparator" w:id="0">
    <w:p w14:paraId="3B2F2E34" w14:textId="77777777" w:rsidR="00CC5B29" w:rsidRDefault="00CC5B29" w:rsidP="00F8564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49863914"/>
      <w:docPartObj>
        <w:docPartGallery w:val="Page Numbers (Bottom of Page)"/>
        <w:docPartUnique/>
      </w:docPartObj>
    </w:sdtPr>
    <w:sdtContent>
      <w:p w14:paraId="45C3C764" w14:textId="30F643E9" w:rsidR="000A3EFC" w:rsidRDefault="000A3EFC" w:rsidP="000A3EFC">
        <w:pPr>
          <w:pStyle w:val="Piedepgina"/>
          <w:tabs>
            <w:tab w:val="clear" w:pos="8504"/>
          </w:tabs>
          <w:ind w:right="-14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65874F" w14:textId="77777777" w:rsidR="000A3EFC" w:rsidRDefault="000A3E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454C03" w14:textId="77777777" w:rsidR="00CC5B29" w:rsidRDefault="00CC5B29" w:rsidP="00F85644">
      <w:pPr>
        <w:spacing w:before="0" w:after="0" w:line="240" w:lineRule="auto"/>
      </w:pPr>
      <w:r>
        <w:separator/>
      </w:r>
    </w:p>
  </w:footnote>
  <w:footnote w:type="continuationSeparator" w:id="0">
    <w:p w14:paraId="6EE509C0" w14:textId="77777777" w:rsidR="00CC5B29" w:rsidRDefault="00CC5B29" w:rsidP="00F8564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CE6A5" w14:textId="44408CA3" w:rsidR="00F85644" w:rsidRDefault="00F85644" w:rsidP="00F85644">
    <w:pPr>
      <w:pStyle w:val="Encabezado"/>
      <w:ind w:left="-567"/>
    </w:pPr>
    <w:r>
      <w:rPr>
        <w:noProof/>
      </w:rPr>
      <w:drawing>
        <wp:inline distT="0" distB="0" distL="0" distR="0" wp14:anchorId="51CEFA44" wp14:editId="253486F9">
          <wp:extent cx="810883" cy="849221"/>
          <wp:effectExtent l="0" t="0" r="8890" b="8255"/>
          <wp:docPr id="1989928964" name="Imagen 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1061843" name="Imagen 2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2459" cy="8718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8A4323" w14:textId="77777777" w:rsidR="00F85644" w:rsidRDefault="00F8564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D7DC4"/>
    <w:multiLevelType w:val="hybridMultilevel"/>
    <w:tmpl w:val="47A4F1B8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B5297E"/>
    <w:multiLevelType w:val="hybridMultilevel"/>
    <w:tmpl w:val="DA78A620"/>
    <w:lvl w:ilvl="0" w:tplc="18327B04">
      <w:start w:val="1"/>
      <w:numFmt w:val="decimal"/>
      <w:lvlText w:val="(%1)"/>
      <w:lvlJc w:val="left"/>
      <w:pPr>
        <w:ind w:left="744" w:hanging="384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B1C41"/>
    <w:multiLevelType w:val="hybridMultilevel"/>
    <w:tmpl w:val="47A4F1B8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421945"/>
    <w:multiLevelType w:val="hybridMultilevel"/>
    <w:tmpl w:val="47A4F1B8"/>
    <w:lvl w:ilvl="0" w:tplc="DF2C3C4E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C002D3"/>
    <w:multiLevelType w:val="hybridMultilevel"/>
    <w:tmpl w:val="47A4F1B8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A54B6B"/>
    <w:multiLevelType w:val="multilevel"/>
    <w:tmpl w:val="1C2C0D20"/>
    <w:lvl w:ilvl="0">
      <w:start w:val="1"/>
      <w:numFmt w:val="decimal"/>
      <w:pStyle w:val="Ttulo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34DA5592"/>
    <w:multiLevelType w:val="hybridMultilevel"/>
    <w:tmpl w:val="47A4F1B8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274085"/>
    <w:multiLevelType w:val="hybridMultilevel"/>
    <w:tmpl w:val="47A4F1B8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B21686"/>
    <w:multiLevelType w:val="hybridMultilevel"/>
    <w:tmpl w:val="47A4F1B8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0A1FFB"/>
    <w:multiLevelType w:val="hybridMultilevel"/>
    <w:tmpl w:val="76AAF2AC"/>
    <w:lvl w:ilvl="0" w:tplc="C77A3EDA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B16855"/>
    <w:multiLevelType w:val="hybridMultilevel"/>
    <w:tmpl w:val="47A4F1B8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9041416">
    <w:abstractNumId w:val="9"/>
  </w:num>
  <w:num w:numId="2" w16cid:durableId="1605770741">
    <w:abstractNumId w:val="5"/>
  </w:num>
  <w:num w:numId="3" w16cid:durableId="149180034">
    <w:abstractNumId w:val="1"/>
  </w:num>
  <w:num w:numId="4" w16cid:durableId="1431001676">
    <w:abstractNumId w:val="3"/>
  </w:num>
  <w:num w:numId="5" w16cid:durableId="427233807">
    <w:abstractNumId w:val="4"/>
  </w:num>
  <w:num w:numId="6" w16cid:durableId="1357387820">
    <w:abstractNumId w:val="8"/>
  </w:num>
  <w:num w:numId="7" w16cid:durableId="260187530">
    <w:abstractNumId w:val="2"/>
  </w:num>
  <w:num w:numId="8" w16cid:durableId="2019119411">
    <w:abstractNumId w:val="6"/>
  </w:num>
  <w:num w:numId="9" w16cid:durableId="1841575817">
    <w:abstractNumId w:val="7"/>
  </w:num>
  <w:num w:numId="10" w16cid:durableId="393550842">
    <w:abstractNumId w:val="0"/>
  </w:num>
  <w:num w:numId="11" w16cid:durableId="119048438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034"/>
    <w:rsid w:val="00041C1B"/>
    <w:rsid w:val="00062B22"/>
    <w:rsid w:val="000A3EFC"/>
    <w:rsid w:val="001C4158"/>
    <w:rsid w:val="00257B49"/>
    <w:rsid w:val="002A1B7B"/>
    <w:rsid w:val="003B0C0E"/>
    <w:rsid w:val="00484144"/>
    <w:rsid w:val="005F0F3E"/>
    <w:rsid w:val="006924FE"/>
    <w:rsid w:val="00692943"/>
    <w:rsid w:val="007E6EE3"/>
    <w:rsid w:val="007F196D"/>
    <w:rsid w:val="00857618"/>
    <w:rsid w:val="008C7034"/>
    <w:rsid w:val="0090673D"/>
    <w:rsid w:val="009334D2"/>
    <w:rsid w:val="0093463D"/>
    <w:rsid w:val="00AA5775"/>
    <w:rsid w:val="00C86EC5"/>
    <w:rsid w:val="00CC5B29"/>
    <w:rsid w:val="00D1662F"/>
    <w:rsid w:val="00F11C85"/>
    <w:rsid w:val="00F146A2"/>
    <w:rsid w:val="00F553F2"/>
    <w:rsid w:val="00F85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8EC071"/>
  <w15:chartTrackingRefBased/>
  <w15:docId w15:val="{DD9F0554-83D5-4C3E-8DDB-547F55CFF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  <w14:ligatures w14:val="standardContextual"/>
      </w:rPr>
    </w:rPrDefault>
    <w:pPrDefault>
      <w:pPr>
        <w:spacing w:before="100" w:after="100" w:line="10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618"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857618"/>
    <w:pPr>
      <w:keepNext/>
      <w:keepLines/>
      <w:spacing w:before="240" w:after="0"/>
      <w:outlineLvl w:val="0"/>
    </w:pPr>
    <w:rPr>
      <w:rFonts w:eastAsiaTheme="majorEastAsia" w:cstheme="majorBidi"/>
      <w:b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57618"/>
    <w:pPr>
      <w:keepNext/>
      <w:keepLines/>
      <w:numPr>
        <w:numId w:val="2"/>
      </w:numPr>
      <w:spacing w:before="160" w:after="120"/>
      <w:ind w:hanging="360"/>
      <w:outlineLvl w:val="1"/>
    </w:pPr>
    <w:rPr>
      <w:rFonts w:eastAsiaTheme="majorEastAsia" w:cstheme="majorBidi"/>
      <w:b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C70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C70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C70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C70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C70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C70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C70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57618"/>
    <w:rPr>
      <w:rFonts w:eastAsiaTheme="majorEastAsia" w:cstheme="majorBidi"/>
      <w:b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857618"/>
    <w:rPr>
      <w:rFonts w:eastAsiaTheme="majorEastAsia" w:cstheme="majorBidi"/>
      <w:b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C70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C703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C703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C703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C703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C703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C703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C70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C70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C70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C70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C70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C703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C703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C703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C70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C703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C7034"/>
    <w:rPr>
      <w:b/>
      <w:bCs/>
      <w:smallCaps/>
      <w:color w:val="0F4761" w:themeColor="accent1" w:themeShade="BF"/>
      <w:spacing w:val="5"/>
    </w:rPr>
  </w:style>
  <w:style w:type="paragraph" w:customStyle="1" w:styleId="Estilo1">
    <w:name w:val="Estilo1"/>
    <w:basedOn w:val="NormalWeb"/>
    <w:rsid w:val="00F85644"/>
    <w:pPr>
      <w:widowControl w:val="0"/>
      <w:suppressAutoHyphens/>
    </w:pPr>
    <w:rPr>
      <w:rFonts w:ascii="Arial" w:eastAsia="Times New Roman" w:hAnsi="Arial" w:cs="Arial"/>
      <w:bCs/>
      <w:kern w:val="1"/>
      <w:sz w:val="20"/>
      <w:szCs w:val="20"/>
      <w:lang w:eastAsia="ar-SA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F85644"/>
    <w:rPr>
      <w:rFonts w:ascii="Times New Roman" w:hAnsi="Times New Roman" w:cs="Times New Roman"/>
      <w:sz w:val="24"/>
      <w:szCs w:val="24"/>
    </w:rPr>
  </w:style>
  <w:style w:type="character" w:customStyle="1" w:styleId="Fuentedeprrafopredeter2">
    <w:name w:val="Fuente de párrafo predeter.2"/>
    <w:rsid w:val="00F85644"/>
  </w:style>
  <w:style w:type="paragraph" w:styleId="Encabezado">
    <w:name w:val="header"/>
    <w:basedOn w:val="Normal"/>
    <w:link w:val="EncabezadoCar"/>
    <w:uiPriority w:val="99"/>
    <w:unhideWhenUsed/>
    <w:rsid w:val="00F856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5644"/>
  </w:style>
  <w:style w:type="paragraph" w:styleId="Piedepgina">
    <w:name w:val="footer"/>
    <w:basedOn w:val="Normal"/>
    <w:link w:val="PiedepginaCar"/>
    <w:uiPriority w:val="99"/>
    <w:unhideWhenUsed/>
    <w:rsid w:val="00F856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5644"/>
  </w:style>
  <w:style w:type="paragraph" w:customStyle="1" w:styleId="Default">
    <w:name w:val="Default"/>
    <w:rsid w:val="009334D2"/>
    <w:pPr>
      <w:autoSpaceDE w:val="0"/>
      <w:autoSpaceDN w:val="0"/>
      <w:adjustRightInd w:val="0"/>
      <w:spacing w:before="0" w:after="0" w:line="240" w:lineRule="auto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6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0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270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González Cagigal</dc:creator>
  <cp:keywords/>
  <dc:description/>
  <cp:lastModifiedBy>David González Cagigal</cp:lastModifiedBy>
  <cp:revision>4</cp:revision>
  <dcterms:created xsi:type="dcterms:W3CDTF">2025-01-20T18:04:00Z</dcterms:created>
  <dcterms:modified xsi:type="dcterms:W3CDTF">2025-03-25T12:08:00Z</dcterms:modified>
</cp:coreProperties>
</file>