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8F3FC" w14:textId="1FAA02BA" w:rsidR="00F85644" w:rsidRDefault="00F85644" w:rsidP="00F146A2">
      <w:pPr>
        <w:pStyle w:val="Estilo1"/>
        <w:ind w:right="141"/>
        <w:jc w:val="center"/>
        <w:rPr>
          <w:rFonts w:ascii="Times New Roman" w:hAnsi="Times New Roman" w:cs="Times New Roman"/>
          <w:b/>
          <w:sz w:val="24"/>
          <w:szCs w:val="24"/>
        </w:rPr>
      </w:pPr>
      <w:r w:rsidRPr="00F85644">
        <w:rPr>
          <w:rFonts w:ascii="Times New Roman" w:hAnsi="Times New Roman" w:cs="Times New Roman"/>
          <w:b/>
          <w:sz w:val="24"/>
          <w:szCs w:val="24"/>
        </w:rPr>
        <w:t xml:space="preserve">ANEXO </w:t>
      </w:r>
      <w:r w:rsidR="00D00DA3">
        <w:rPr>
          <w:rFonts w:ascii="Times New Roman" w:hAnsi="Times New Roman" w:cs="Times New Roman"/>
          <w:b/>
          <w:sz w:val="24"/>
          <w:szCs w:val="24"/>
        </w:rPr>
        <w:t>VIII</w:t>
      </w:r>
    </w:p>
    <w:p w14:paraId="775859AC" w14:textId="77777777" w:rsidR="00F85644" w:rsidRPr="00F85644" w:rsidRDefault="00F85644" w:rsidP="00F146A2">
      <w:pPr>
        <w:pStyle w:val="Estilo1"/>
        <w:ind w:right="141"/>
        <w:jc w:val="center"/>
        <w:rPr>
          <w:rFonts w:ascii="Times New Roman" w:hAnsi="Times New Roman" w:cs="Times New Roman"/>
          <w:b/>
          <w:sz w:val="24"/>
          <w:szCs w:val="24"/>
        </w:rPr>
      </w:pPr>
    </w:p>
    <w:p w14:paraId="74290A0D" w14:textId="08C68E21" w:rsidR="007B1BE0" w:rsidRDefault="00DD1370" w:rsidP="00F146A2">
      <w:pPr>
        <w:pStyle w:val="Estilo1"/>
        <w:ind w:right="141"/>
        <w:jc w:val="center"/>
        <w:rPr>
          <w:rFonts w:ascii="Times New Roman" w:hAnsi="Times New Roman" w:cs="Times New Roman"/>
          <w:b/>
          <w:sz w:val="24"/>
          <w:szCs w:val="24"/>
        </w:rPr>
      </w:pPr>
      <w:r w:rsidRPr="00DD1370">
        <w:rPr>
          <w:rFonts w:ascii="Times New Roman" w:hAnsi="Times New Roman" w:cs="Times New Roman"/>
          <w:b/>
          <w:sz w:val="24"/>
          <w:szCs w:val="24"/>
        </w:rPr>
        <w:t>CONDICIONES DE LOS LIMITADORES-CONTROLADORES ACÚSTICOS</w:t>
      </w:r>
    </w:p>
    <w:p w14:paraId="01600F79" w14:textId="77777777" w:rsidR="00DD1370" w:rsidRDefault="00DD1370" w:rsidP="00F146A2">
      <w:pPr>
        <w:pStyle w:val="Estilo1"/>
        <w:ind w:right="141"/>
        <w:jc w:val="center"/>
        <w:rPr>
          <w:rFonts w:ascii="Times New Roman" w:hAnsi="Times New Roman" w:cs="Times New Roman"/>
          <w:b/>
          <w:bCs w:val="0"/>
          <w:sz w:val="24"/>
          <w:szCs w:val="24"/>
        </w:rPr>
      </w:pPr>
    </w:p>
    <w:p w14:paraId="6C1CDF1F"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1. El limitador intervendrá de forma espectral en la totalidad de la cadena de sonido con objeto de utilizar la máxima emisión sonora que el aislamiento acústico del local permita.</w:t>
      </w:r>
    </w:p>
    <w:p w14:paraId="2AA8943C"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2. Ningún elemento con amplificación de sonido quedará fuera del control del limitador.</w:t>
      </w:r>
    </w:p>
    <w:p w14:paraId="204B91E6"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3. La desconexión del limitador provocará la interrupción de la emisión de sonido.</w:t>
      </w:r>
    </w:p>
    <w:p w14:paraId="50F45111"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4. Los limitadores contarán con los dispositivos necesarios para ser operativos, por lo que deberán disponer al menos de las siguientes funciones:</w:t>
      </w:r>
    </w:p>
    <w:p w14:paraId="47D6E36D"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a) sistema de calibración interno que permita detectar posibles manipulaciones del equipo de sonido.</w:t>
      </w:r>
    </w:p>
    <w:p w14:paraId="19DF95CE"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b) registro </w:t>
      </w:r>
      <w:proofErr w:type="spellStart"/>
      <w:r w:rsidRPr="00DD1370">
        <w:rPr>
          <w:rFonts w:ascii="Times New Roman" w:hAnsi="Times New Roman" w:cs="Times New Roman"/>
          <w:color w:val="000000"/>
          <w:sz w:val="24"/>
          <w:szCs w:val="24"/>
        </w:rPr>
        <w:t>sonográfico</w:t>
      </w:r>
      <w:proofErr w:type="spellEnd"/>
      <w:r w:rsidRPr="00DD1370">
        <w:rPr>
          <w:rFonts w:ascii="Times New Roman" w:hAnsi="Times New Roman" w:cs="Times New Roman"/>
          <w:color w:val="000000"/>
          <w:sz w:val="24"/>
          <w:szCs w:val="24"/>
        </w:rPr>
        <w:t xml:space="preserve"> o de almacenamiento de los niveles sonoros en el local emisor para cada una de las sesiones habidas, con indicación de fecha, hora de terminación y niveles de calibración de la sesión, con capacidad de almacenamiento mínima de un mes.</w:t>
      </w:r>
    </w:p>
    <w:p w14:paraId="3182C512"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c) mecanismo de protección, mediante llaves electrónicas o claves de acceso que impidan posibles manipulaciones posteriores, y si fuesen realizadas deberán quedar almacenadas en la memoria interna del equipo.</w:t>
      </w:r>
    </w:p>
    <w:p w14:paraId="00CF1717"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d) almacenamiento de los registros </w:t>
      </w:r>
      <w:proofErr w:type="spellStart"/>
      <w:r w:rsidRPr="00DD1370">
        <w:rPr>
          <w:rFonts w:ascii="Times New Roman" w:hAnsi="Times New Roman" w:cs="Times New Roman"/>
          <w:color w:val="000000"/>
          <w:sz w:val="24"/>
          <w:szCs w:val="24"/>
        </w:rPr>
        <w:t>sonográficos</w:t>
      </w:r>
      <w:proofErr w:type="spellEnd"/>
      <w:r w:rsidRPr="00DD1370">
        <w:rPr>
          <w:rFonts w:ascii="Times New Roman" w:hAnsi="Times New Roman" w:cs="Times New Roman"/>
          <w:color w:val="000000"/>
          <w:sz w:val="24"/>
          <w:szCs w:val="24"/>
        </w:rPr>
        <w:t>, calibraciones periódicas y del sistema de precintado a través de soporte físico estable, de forma que no se vea afectado por fallo de tensión, dotándose de los necesarios elementos de seguridad (baterías, acumuladores, etc.).</w:t>
      </w:r>
    </w:p>
    <w:p w14:paraId="23B56EC7"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e) sistema de inspección que permita a los inspectores municipales extraer los datos almacenados para su análisis y evaluación.</w:t>
      </w:r>
    </w:p>
    <w:p w14:paraId="02677C39"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5. Los registros </w:t>
      </w:r>
      <w:proofErr w:type="spellStart"/>
      <w:r w:rsidRPr="00DD1370">
        <w:rPr>
          <w:rFonts w:ascii="Times New Roman" w:hAnsi="Times New Roman" w:cs="Times New Roman"/>
          <w:color w:val="000000"/>
          <w:sz w:val="24"/>
          <w:szCs w:val="24"/>
        </w:rPr>
        <w:t>sonográficos</w:t>
      </w:r>
      <w:proofErr w:type="spellEnd"/>
      <w:r w:rsidRPr="00DD1370">
        <w:rPr>
          <w:rFonts w:ascii="Times New Roman" w:hAnsi="Times New Roman" w:cs="Times New Roman"/>
          <w:color w:val="000000"/>
          <w:sz w:val="24"/>
          <w:szCs w:val="24"/>
        </w:rPr>
        <w:t xml:space="preserve"> de cada mes natural serán guardados por el titular de la actividad durante un período mínimo de cuatro años, en archivos informáticos, de forma que puedan ser consultados en cualquier momento por los inspectores municipales actuantes en las labores de inspección encomendadas. Sin perjuicio de lo anterior, los archivos de los registros </w:t>
      </w:r>
      <w:proofErr w:type="spellStart"/>
      <w:r w:rsidRPr="00DD1370">
        <w:rPr>
          <w:rFonts w:ascii="Times New Roman" w:hAnsi="Times New Roman" w:cs="Times New Roman"/>
          <w:color w:val="000000"/>
          <w:sz w:val="24"/>
          <w:szCs w:val="24"/>
        </w:rPr>
        <w:t>sonográficos</w:t>
      </w:r>
      <w:proofErr w:type="spellEnd"/>
      <w:r w:rsidRPr="00DD1370">
        <w:rPr>
          <w:rFonts w:ascii="Times New Roman" w:hAnsi="Times New Roman" w:cs="Times New Roman"/>
          <w:color w:val="000000"/>
          <w:sz w:val="24"/>
          <w:szCs w:val="24"/>
        </w:rPr>
        <w:t xml:space="preserve"> deberán ser remitidos al órgano municipal competente, a partir de la instalación de la actividad, los meses pares el primer año, los impares el segundo, y así sucesivamente.</w:t>
      </w:r>
    </w:p>
    <w:p w14:paraId="571550F6"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6. A partir de tres años de la entrada en vigor de la Ordenanza, todas las actividades afectadas por este artículo, legalizadas o que vayan a legalizarse, adoptarán un sistema de comprobación de registros y verificación del correcto funcionamiento del equipo en tiempo real mediante transmisión telemática. El sistema de transmisión deberá ser ejecutable mediante una aplicación universal a la que puedan acceder los inspectores municipales a través de una página web con accesos restringidos al contenido de </w:t>
      </w:r>
      <w:proofErr w:type="gramStart"/>
      <w:r w:rsidRPr="00DD1370">
        <w:rPr>
          <w:rFonts w:ascii="Times New Roman" w:hAnsi="Times New Roman" w:cs="Times New Roman"/>
          <w:color w:val="000000"/>
          <w:sz w:val="24"/>
          <w:szCs w:val="24"/>
        </w:rPr>
        <w:t>los mismos</w:t>
      </w:r>
      <w:proofErr w:type="gramEnd"/>
      <w:r w:rsidRPr="00DD1370">
        <w:rPr>
          <w:rFonts w:ascii="Times New Roman" w:hAnsi="Times New Roman" w:cs="Times New Roman"/>
          <w:color w:val="000000"/>
          <w:sz w:val="24"/>
          <w:szCs w:val="24"/>
        </w:rPr>
        <w:t xml:space="preserve">. Esta aplicación debe contener la información de instalación y funcionamiento del </w:t>
      </w:r>
      <w:proofErr w:type="gramStart"/>
      <w:r w:rsidRPr="00DD1370">
        <w:rPr>
          <w:rFonts w:ascii="Times New Roman" w:hAnsi="Times New Roman" w:cs="Times New Roman"/>
          <w:color w:val="000000"/>
          <w:sz w:val="24"/>
          <w:szCs w:val="24"/>
        </w:rPr>
        <w:t>limitador</w:t>
      </w:r>
      <w:proofErr w:type="gramEnd"/>
      <w:r w:rsidRPr="00DD1370">
        <w:rPr>
          <w:rFonts w:ascii="Times New Roman" w:hAnsi="Times New Roman" w:cs="Times New Roman"/>
          <w:color w:val="000000"/>
          <w:sz w:val="24"/>
          <w:szCs w:val="24"/>
        </w:rPr>
        <w:t xml:space="preserve"> así </w:t>
      </w:r>
      <w:r w:rsidRPr="00DD1370">
        <w:rPr>
          <w:rFonts w:ascii="Times New Roman" w:hAnsi="Times New Roman" w:cs="Times New Roman"/>
          <w:color w:val="000000"/>
          <w:sz w:val="24"/>
          <w:szCs w:val="24"/>
        </w:rPr>
        <w:lastRenderedPageBreak/>
        <w:t>como un sistema automático a tiempo real de alarmas de detección de errores en el funcionamiento adecuado del equipo y del sistema de comunicaciones. El coste de la transmisión telemática debe ser asumido por el titular de la actividad.</w:t>
      </w:r>
    </w:p>
    <w:p w14:paraId="7234C93A" w14:textId="19CAEE22"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7. A fin de verificar el cumplimiento de las condiciones del limitador, el fabricante o importador deberá garantizar la conformidad </w:t>
      </w:r>
      <w:proofErr w:type="gramStart"/>
      <w:r w:rsidRPr="00DD1370">
        <w:rPr>
          <w:rFonts w:ascii="Times New Roman" w:hAnsi="Times New Roman" w:cs="Times New Roman"/>
          <w:color w:val="000000"/>
          <w:sz w:val="24"/>
          <w:szCs w:val="24"/>
        </w:rPr>
        <w:t>del mismo</w:t>
      </w:r>
      <w:proofErr w:type="gramEnd"/>
      <w:r w:rsidRPr="00DD1370">
        <w:rPr>
          <w:rFonts w:ascii="Times New Roman" w:hAnsi="Times New Roman" w:cs="Times New Roman"/>
          <w:color w:val="000000"/>
          <w:sz w:val="24"/>
          <w:szCs w:val="24"/>
        </w:rPr>
        <w:t xml:space="preserve"> con las condiciones establecidas en este artículo. El certificado de conformidad del limitador será exigido a las actividades que lo tengan instalado y deberá indicar lo siguiente: producto; marca comercial; modelo/tipo; fabricante; peticionario; otros datos de identificación; norma de referencia y resultado. La adecuación al apartado 3, cuando no venga recogida en el certificado de homologación del</w:t>
      </w:r>
      <w:r>
        <w:rPr>
          <w:rFonts w:ascii="Times New Roman" w:hAnsi="Times New Roman" w:cs="Times New Roman"/>
          <w:color w:val="000000"/>
          <w:sz w:val="24"/>
          <w:szCs w:val="24"/>
        </w:rPr>
        <w:t xml:space="preserve"> </w:t>
      </w:r>
      <w:r w:rsidRPr="00DD1370">
        <w:rPr>
          <w:rFonts w:ascii="Times New Roman" w:hAnsi="Times New Roman" w:cs="Times New Roman"/>
          <w:color w:val="000000"/>
          <w:sz w:val="24"/>
          <w:szCs w:val="24"/>
        </w:rPr>
        <w:t xml:space="preserve">limitador, se recogerá en el certificado de instalación y ajuste </w:t>
      </w:r>
      <w:proofErr w:type="gramStart"/>
      <w:r w:rsidRPr="00DD1370">
        <w:rPr>
          <w:rFonts w:ascii="Times New Roman" w:hAnsi="Times New Roman" w:cs="Times New Roman"/>
          <w:color w:val="000000"/>
          <w:sz w:val="24"/>
          <w:szCs w:val="24"/>
        </w:rPr>
        <w:t>del mismo</w:t>
      </w:r>
      <w:proofErr w:type="gramEnd"/>
      <w:r w:rsidRPr="00DD1370">
        <w:rPr>
          <w:rFonts w:ascii="Times New Roman" w:hAnsi="Times New Roman" w:cs="Times New Roman"/>
          <w:color w:val="000000"/>
          <w:sz w:val="24"/>
          <w:szCs w:val="24"/>
        </w:rPr>
        <w:t>, a suscribir por personal técnico competente, incluyendo también el número de serie del limitador.</w:t>
      </w:r>
    </w:p>
    <w:p w14:paraId="6E18B273"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8. El titular de la actividad será responsable del correcto funcionamiento del limitador, debiendo contratar un servicio técnico que le asegure el mantenimiento permanente y la verificación anual, y en caso de avería del equipo, la reparación o sustitución </w:t>
      </w:r>
      <w:proofErr w:type="gramStart"/>
      <w:r w:rsidRPr="00DD1370">
        <w:rPr>
          <w:rFonts w:ascii="Times New Roman" w:hAnsi="Times New Roman" w:cs="Times New Roman"/>
          <w:color w:val="000000"/>
          <w:sz w:val="24"/>
          <w:szCs w:val="24"/>
        </w:rPr>
        <w:t>del mismo</w:t>
      </w:r>
      <w:proofErr w:type="gramEnd"/>
      <w:r w:rsidRPr="00DD1370">
        <w:rPr>
          <w:rFonts w:ascii="Times New Roman" w:hAnsi="Times New Roman" w:cs="Times New Roman"/>
          <w:color w:val="000000"/>
          <w:sz w:val="24"/>
          <w:szCs w:val="24"/>
        </w:rPr>
        <w:t xml:space="preserve"> en un plazo no superior a una semana desde la aparición de la avería. El titular de la actividad dispondrá del libro de incidencias que, en su caso, establezca el órgano municipal competente, libro que registrará cualquier anomalía sufrida por el equipo, incluyendo su reparación o sustitución por el servicio de mantenimiento, con fecha nombre y firma del técnico responsable. El libro estará a disposición de los inspectores municipales cuando lo requieran en las inspecciones que lleven a cabo.</w:t>
      </w:r>
    </w:p>
    <w:p w14:paraId="4482D3B2"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9. Previo al inicio de las actividades donde sea obligatorio la instalación del limitador, el titular presentará un informe y un certificado de instalación y ajuste suscritos por personal técnico competente. El informe contendrá la siguiente documentación:</w:t>
      </w:r>
    </w:p>
    <w:p w14:paraId="6A003F7C"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a) plano de planta señalando las coordenadas P(</w:t>
      </w:r>
      <w:proofErr w:type="spellStart"/>
      <w:proofErr w:type="gramStart"/>
      <w:r w:rsidRPr="00DD1370">
        <w:rPr>
          <w:rFonts w:ascii="Times New Roman" w:hAnsi="Times New Roman" w:cs="Times New Roman"/>
          <w:color w:val="000000"/>
          <w:sz w:val="24"/>
          <w:szCs w:val="24"/>
        </w:rPr>
        <w:t>x,y</w:t>
      </w:r>
      <w:proofErr w:type="gramEnd"/>
      <w:r w:rsidRPr="00DD1370">
        <w:rPr>
          <w:rFonts w:ascii="Times New Roman" w:hAnsi="Times New Roman" w:cs="Times New Roman"/>
          <w:color w:val="000000"/>
          <w:sz w:val="24"/>
          <w:szCs w:val="24"/>
        </w:rPr>
        <w:t>,z</w:t>
      </w:r>
      <w:proofErr w:type="spellEnd"/>
      <w:r w:rsidRPr="00DD1370">
        <w:rPr>
          <w:rFonts w:ascii="Times New Roman" w:hAnsi="Times New Roman" w:cs="Times New Roman"/>
          <w:color w:val="000000"/>
          <w:sz w:val="24"/>
          <w:szCs w:val="24"/>
        </w:rPr>
        <w:t>), respecto a tres ejes referenciales libremente escogidos, de los puntos siguientes: punto de ubicación del micrófono registrador del limitador; punto de ubicación de cada altavoz y punto de ubicación del interior de la actividad donde se ha medido el nivel sonoro referencial de instalación y ajuste del limitador “NSRIAL.</w:t>
      </w:r>
    </w:p>
    <w:p w14:paraId="26906080"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b) marca, modelo y número de serie de los elementos que integran la cadena de sonido, incluido el limitador.</w:t>
      </w:r>
    </w:p>
    <w:p w14:paraId="0BD2C9EC"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c) potencia RMS e impedancia de salida, según fabricante, de los elementos amplificadores de sonido.</w:t>
      </w:r>
    </w:p>
    <w:p w14:paraId="309917C9"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d) potencia RMS, impedancia, respuesta en frecuencia, y sensibilidad en dB/w a 1,00 m, según fabricante, de cada uno de los altavoces instalados.</w:t>
      </w:r>
    </w:p>
    <w:p w14:paraId="7C324492"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e) impedancia total de los altavoces conectados a la salida de cada etapa de potencia. Cuando la cadena de sonido disponga de conmutación serie-paralelo de altavoces se indicará la impedancia total, para cada configuración, que acomete a cada etapa de potencia.</w:t>
      </w:r>
    </w:p>
    <w:p w14:paraId="2F7D8AFA"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f) esquema unifilar de conexión de los elementos de la cadena de sonido, incluyendo el limitador, e identificación de </w:t>
      </w:r>
      <w:proofErr w:type="gramStart"/>
      <w:r w:rsidRPr="00DD1370">
        <w:rPr>
          <w:rFonts w:ascii="Times New Roman" w:hAnsi="Times New Roman" w:cs="Times New Roman"/>
          <w:color w:val="000000"/>
          <w:sz w:val="24"/>
          <w:szCs w:val="24"/>
        </w:rPr>
        <w:t>los mismos</w:t>
      </w:r>
      <w:proofErr w:type="gramEnd"/>
      <w:r w:rsidRPr="00DD1370">
        <w:rPr>
          <w:rFonts w:ascii="Times New Roman" w:hAnsi="Times New Roman" w:cs="Times New Roman"/>
          <w:color w:val="000000"/>
          <w:sz w:val="24"/>
          <w:szCs w:val="24"/>
        </w:rPr>
        <w:t xml:space="preserve"> (tipo de elemento, marca, modelo y número de </w:t>
      </w:r>
      <w:r w:rsidRPr="00DD1370">
        <w:rPr>
          <w:rFonts w:ascii="Times New Roman" w:hAnsi="Times New Roman" w:cs="Times New Roman"/>
          <w:color w:val="000000"/>
          <w:sz w:val="24"/>
          <w:szCs w:val="24"/>
        </w:rPr>
        <w:lastRenderedPageBreak/>
        <w:t>serie).</w:t>
      </w:r>
    </w:p>
    <w:p w14:paraId="7E496F0F"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g) fotografía in situ de los elementos amplificadores de sonido y de los altavoces una vez instalados en la actividad, identificándolos con los del esquema unifilar presentado.</w:t>
      </w:r>
    </w:p>
    <w:p w14:paraId="62369546"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h) parámetros de configuración y ajuste del limitador:</w:t>
      </w:r>
    </w:p>
    <w:p w14:paraId="7E3236E8" w14:textId="4774B3CC" w:rsidR="00DD1370" w:rsidRPr="00DD1370" w:rsidRDefault="00DD1370" w:rsidP="00DD1370">
      <w:pPr>
        <w:pStyle w:val="Estilo1"/>
        <w:numPr>
          <w:ilvl w:val="0"/>
          <w:numId w:val="16"/>
        </w:numPr>
        <w:spacing w:before="200" w:after="200"/>
        <w:rPr>
          <w:rFonts w:ascii="Times New Roman" w:hAnsi="Times New Roman" w:cs="Times New Roman"/>
          <w:color w:val="000000"/>
          <w:sz w:val="24"/>
          <w:szCs w:val="24"/>
        </w:rPr>
      </w:pPr>
      <w:r w:rsidRPr="00DD1370">
        <w:rPr>
          <w:rFonts w:ascii="Times New Roman" w:hAnsi="Times New Roman" w:cs="Times New Roman"/>
          <w:color w:val="000000"/>
          <w:sz w:val="24"/>
          <w:szCs w:val="24"/>
        </w:rPr>
        <w:t>pérdidas de energía acústica a ruido aéreo medidas entre la actividad y los recintos ajenos colindantes y entre la actividad y el exterior.</w:t>
      </w:r>
    </w:p>
    <w:p w14:paraId="67715BBD" w14:textId="1EEB5D6A" w:rsidR="00DD1370" w:rsidRPr="00DD1370" w:rsidRDefault="00DD1370" w:rsidP="00DD1370">
      <w:pPr>
        <w:pStyle w:val="Estilo1"/>
        <w:numPr>
          <w:ilvl w:val="0"/>
          <w:numId w:val="16"/>
        </w:numPr>
        <w:spacing w:before="200" w:after="200"/>
        <w:rPr>
          <w:rFonts w:ascii="Times New Roman" w:hAnsi="Times New Roman" w:cs="Times New Roman"/>
          <w:color w:val="000000"/>
          <w:sz w:val="24"/>
          <w:szCs w:val="24"/>
        </w:rPr>
      </w:pPr>
      <w:r w:rsidRPr="00DD1370">
        <w:rPr>
          <w:rFonts w:ascii="Times New Roman" w:hAnsi="Times New Roman" w:cs="Times New Roman"/>
          <w:color w:val="000000"/>
          <w:sz w:val="24"/>
          <w:szCs w:val="24"/>
        </w:rPr>
        <w:t>límites de inmisión de ruido correspondientes a los puntos receptores donde se han medido las pérdidas indicadas anteriormente.</w:t>
      </w:r>
    </w:p>
    <w:p w14:paraId="02D94C70" w14:textId="466B7743" w:rsidR="00DD1370" w:rsidRPr="00DD1370" w:rsidRDefault="00DD1370" w:rsidP="00DD1370">
      <w:pPr>
        <w:pStyle w:val="Estilo1"/>
        <w:numPr>
          <w:ilvl w:val="0"/>
          <w:numId w:val="16"/>
        </w:numPr>
        <w:spacing w:before="200" w:after="200"/>
        <w:rPr>
          <w:rFonts w:ascii="Times New Roman" w:hAnsi="Times New Roman" w:cs="Times New Roman"/>
          <w:color w:val="000000"/>
          <w:sz w:val="24"/>
          <w:szCs w:val="24"/>
        </w:rPr>
      </w:pPr>
      <w:r w:rsidRPr="00DD1370">
        <w:rPr>
          <w:rFonts w:ascii="Times New Roman" w:hAnsi="Times New Roman" w:cs="Times New Roman"/>
          <w:color w:val="000000"/>
          <w:sz w:val="24"/>
          <w:szCs w:val="24"/>
        </w:rPr>
        <w:t>nivel sonoro de instalación y ajuste del limitador (NSIAL).</w:t>
      </w:r>
    </w:p>
    <w:p w14:paraId="655611F1" w14:textId="23CB1152" w:rsidR="00DD1370" w:rsidRPr="00DD1370" w:rsidRDefault="00DD1370" w:rsidP="00DD1370">
      <w:pPr>
        <w:pStyle w:val="Estilo1"/>
        <w:numPr>
          <w:ilvl w:val="0"/>
          <w:numId w:val="16"/>
        </w:numPr>
        <w:spacing w:before="200" w:after="200"/>
        <w:rPr>
          <w:rFonts w:ascii="Times New Roman" w:hAnsi="Times New Roman" w:cs="Times New Roman"/>
          <w:color w:val="000000"/>
          <w:sz w:val="24"/>
          <w:szCs w:val="24"/>
        </w:rPr>
      </w:pPr>
      <w:r w:rsidRPr="00DD1370">
        <w:rPr>
          <w:rFonts w:ascii="Times New Roman" w:hAnsi="Times New Roman" w:cs="Times New Roman"/>
          <w:color w:val="000000"/>
          <w:sz w:val="24"/>
          <w:szCs w:val="24"/>
        </w:rPr>
        <w:t>nivel sonoro referencial de instalación y ajuste del limitador (NSRIAL).</w:t>
      </w:r>
    </w:p>
    <w:p w14:paraId="31FB3FAB" w14:textId="4064314F" w:rsidR="00DD1370" w:rsidRPr="00DD1370" w:rsidRDefault="00DD1370" w:rsidP="00DD1370">
      <w:pPr>
        <w:pStyle w:val="Estilo1"/>
        <w:numPr>
          <w:ilvl w:val="0"/>
          <w:numId w:val="16"/>
        </w:numPr>
        <w:spacing w:before="200" w:after="200"/>
        <w:rPr>
          <w:rFonts w:ascii="Times New Roman" w:hAnsi="Times New Roman" w:cs="Times New Roman"/>
          <w:color w:val="000000"/>
          <w:sz w:val="24"/>
          <w:szCs w:val="24"/>
        </w:rPr>
      </w:pPr>
      <w:r w:rsidRPr="00DD1370">
        <w:rPr>
          <w:rFonts w:ascii="Times New Roman" w:hAnsi="Times New Roman" w:cs="Times New Roman"/>
          <w:color w:val="000000"/>
          <w:sz w:val="24"/>
          <w:szCs w:val="24"/>
        </w:rPr>
        <w:t>hoja original que suministra por impresora el programa de instalación del limitador, rechazándose cualquier otro tipo de presentación. Dicha hoja estará fechada y suscrita por personal técnico competente.</w:t>
      </w:r>
    </w:p>
    <w:p w14:paraId="0EC649EF"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i) las pérdidas de energía acústica a ruido aéreo deben ser medidas y valoradas respecto a todos los recintos ajenos colindantes y respecto al exterior por cada fachada del local</w:t>
      </w:r>
    </w:p>
    <w:p w14:paraId="680EFBE3"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j) una vez instalado y ajustado el limitador, se comprobará el nivel de inmisión de ruido en el receptor más desfavorable (NIE o NII), reproduciendo una grabación de ruido rosa a través del equipo de música con el volumen al máximo.</w:t>
      </w:r>
    </w:p>
    <w:p w14:paraId="21E217CC"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10. El certificado de instalación y ajuste del limitador recogerá de forma abreviada los datos esenciales del titular, la actividad y el limitador, principalmente los parámetros de configuración y ajuste </w:t>
      </w:r>
      <w:proofErr w:type="gramStart"/>
      <w:r w:rsidRPr="00DD1370">
        <w:rPr>
          <w:rFonts w:ascii="Times New Roman" w:hAnsi="Times New Roman" w:cs="Times New Roman"/>
          <w:color w:val="000000"/>
          <w:sz w:val="24"/>
          <w:szCs w:val="24"/>
        </w:rPr>
        <w:t>del mismo</w:t>
      </w:r>
      <w:proofErr w:type="gramEnd"/>
      <w:r w:rsidRPr="00DD1370">
        <w:rPr>
          <w:rFonts w:ascii="Times New Roman" w:hAnsi="Times New Roman" w:cs="Times New Roman"/>
          <w:color w:val="000000"/>
          <w:sz w:val="24"/>
          <w:szCs w:val="24"/>
        </w:rPr>
        <w:t>.</w:t>
      </w:r>
    </w:p>
    <w:p w14:paraId="79B7A8E6"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11. Cualquier modificación de la cadena de sonido, del limitador o de las características acústicas del local respecto a las condiciones legalizadas, deberá comunicarse al órgano municipal competente mediante un nuevo informe suscrito por personal técnico competente. En todo caso la modificación no podrá suponer un aumento del límite sonoro legalizado en el expediente de la actividad, de lo contrario será considerada modificación sustancial con los efectos previstos en esta Ordenanza.</w:t>
      </w:r>
    </w:p>
    <w:p w14:paraId="15D77DD0"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12. En caso de denuncia y con objeto de verificar las condiciones en que se encuentra el limitador, los inspectores municipales en las labores de inspección encomendadas podrán exigir a los titulares la presentación de un informe técnico suscrito por personal técnico competente que recoja las incidencias habidas desde su instalación o desde el último informe periódico emitido al respecto. El informe comprobará la trazabilidad del limitador respecto a la última configuración habida, para lo cual deberá recoger lo siguiente:</w:t>
      </w:r>
    </w:p>
    <w:p w14:paraId="07024A97"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a) vigencia del certificado del limitador.</w:t>
      </w:r>
    </w:p>
    <w:p w14:paraId="7DF434E7"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b) comprobación física del conexionado eléctrico y de audio de los </w:t>
      </w:r>
      <w:proofErr w:type="gramStart"/>
      <w:r w:rsidRPr="00DD1370">
        <w:rPr>
          <w:rFonts w:ascii="Times New Roman" w:hAnsi="Times New Roman" w:cs="Times New Roman"/>
          <w:color w:val="000000"/>
          <w:sz w:val="24"/>
          <w:szCs w:val="24"/>
        </w:rPr>
        <w:t>equipos</w:t>
      </w:r>
      <w:proofErr w:type="gramEnd"/>
      <w:r w:rsidRPr="00DD1370">
        <w:rPr>
          <w:rFonts w:ascii="Times New Roman" w:hAnsi="Times New Roman" w:cs="Times New Roman"/>
          <w:color w:val="000000"/>
          <w:sz w:val="24"/>
          <w:szCs w:val="24"/>
        </w:rPr>
        <w:t xml:space="preserve"> así como de los distintos elementos que componen la cadena de reproducción y de control.</w:t>
      </w:r>
    </w:p>
    <w:p w14:paraId="1C9E8F03"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lastRenderedPageBreak/>
        <w:t xml:space="preserve">c) esquema unifilar de conexionado de los elementos de la cadena de sonido, incluyendo el limitador, e identificación de </w:t>
      </w:r>
      <w:proofErr w:type="gramStart"/>
      <w:r w:rsidRPr="00DD1370">
        <w:rPr>
          <w:rFonts w:ascii="Times New Roman" w:hAnsi="Times New Roman" w:cs="Times New Roman"/>
          <w:color w:val="000000"/>
          <w:sz w:val="24"/>
          <w:szCs w:val="24"/>
        </w:rPr>
        <w:t>los mismos</w:t>
      </w:r>
      <w:proofErr w:type="gramEnd"/>
      <w:r w:rsidRPr="00DD1370">
        <w:rPr>
          <w:rFonts w:ascii="Times New Roman" w:hAnsi="Times New Roman" w:cs="Times New Roman"/>
          <w:color w:val="000000"/>
          <w:sz w:val="24"/>
          <w:szCs w:val="24"/>
        </w:rPr>
        <w:t xml:space="preserve"> en dicho esquema consignando tipo de elemento, marca, modelo y número de serie.</w:t>
      </w:r>
    </w:p>
    <w:p w14:paraId="09E11AC5"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d) análisis espectral en tercios de octava del espectro máximo de emisión sonora del sistema de reproducción musical a ruido rosa.</w:t>
      </w:r>
    </w:p>
    <w:p w14:paraId="14074AFA" w14:textId="77777777" w:rsidR="00DD1370" w:rsidRPr="00DD137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e) comprobación de la trazabilidad entre el informe de la última instalación legalizada y los resultados obtenidos en la comprobación efectuada.</w:t>
      </w:r>
    </w:p>
    <w:p w14:paraId="14F3EDCA" w14:textId="76D406AC" w:rsidR="00DD1370" w:rsidRPr="007B1BE0" w:rsidRDefault="00DD1370" w:rsidP="00DD1370">
      <w:pPr>
        <w:pStyle w:val="Estilo1"/>
        <w:spacing w:before="200" w:after="200"/>
        <w:ind w:left="360"/>
        <w:rPr>
          <w:rFonts w:ascii="Times New Roman" w:hAnsi="Times New Roman" w:cs="Times New Roman"/>
          <w:color w:val="000000"/>
          <w:sz w:val="24"/>
          <w:szCs w:val="24"/>
        </w:rPr>
      </w:pPr>
      <w:r w:rsidRPr="00DD1370">
        <w:rPr>
          <w:rFonts w:ascii="Times New Roman" w:hAnsi="Times New Roman" w:cs="Times New Roman"/>
          <w:color w:val="000000"/>
          <w:sz w:val="24"/>
          <w:szCs w:val="24"/>
        </w:rPr>
        <w:t xml:space="preserve">f) incidencias en el funcionamiento, con expresa información sobre períodos de inactividad, averías y otras causas que hayan impedido el correcto funcionamiento </w:t>
      </w:r>
      <w:proofErr w:type="gramStart"/>
      <w:r w:rsidRPr="00DD1370">
        <w:rPr>
          <w:rFonts w:ascii="Times New Roman" w:hAnsi="Times New Roman" w:cs="Times New Roman"/>
          <w:color w:val="000000"/>
          <w:sz w:val="24"/>
          <w:szCs w:val="24"/>
        </w:rPr>
        <w:t>del mismo</w:t>
      </w:r>
      <w:proofErr w:type="gramEnd"/>
      <w:r w:rsidRPr="00DD1370">
        <w:rPr>
          <w:rFonts w:ascii="Times New Roman" w:hAnsi="Times New Roman" w:cs="Times New Roman"/>
          <w:color w:val="000000"/>
          <w:sz w:val="24"/>
          <w:szCs w:val="24"/>
        </w:rPr>
        <w:t>.</w:t>
      </w:r>
    </w:p>
    <w:sectPr w:rsidR="00DD1370" w:rsidRPr="007B1BE0" w:rsidSect="000A3EFC">
      <w:headerReference w:type="default" r:id="rId7"/>
      <w:footerReference w:type="default" r:id="rId8"/>
      <w:pgSz w:w="11906" w:h="16838"/>
      <w:pgMar w:top="2127" w:right="1274" w:bottom="1560" w:left="1560" w:header="426"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C0811" w14:textId="77777777" w:rsidR="00476C1F" w:rsidRDefault="00476C1F" w:rsidP="00F85644">
      <w:pPr>
        <w:spacing w:before="0" w:after="0" w:line="240" w:lineRule="auto"/>
      </w:pPr>
      <w:r>
        <w:separator/>
      </w:r>
    </w:p>
  </w:endnote>
  <w:endnote w:type="continuationSeparator" w:id="0">
    <w:p w14:paraId="1637A429" w14:textId="77777777" w:rsidR="00476C1F" w:rsidRDefault="00476C1F" w:rsidP="00F856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863914"/>
      <w:docPartObj>
        <w:docPartGallery w:val="Page Numbers (Bottom of Page)"/>
        <w:docPartUnique/>
      </w:docPartObj>
    </w:sdtPr>
    <w:sdtContent>
      <w:p w14:paraId="45C3C764" w14:textId="30F643E9" w:rsidR="000A3EFC" w:rsidRDefault="000A3EFC" w:rsidP="000A3EFC">
        <w:pPr>
          <w:pStyle w:val="Piedepgina"/>
          <w:tabs>
            <w:tab w:val="clear" w:pos="8504"/>
          </w:tabs>
          <w:ind w:right="-142"/>
          <w:jc w:val="right"/>
        </w:pPr>
        <w:r>
          <w:fldChar w:fldCharType="begin"/>
        </w:r>
        <w:r>
          <w:instrText>PAGE   \* MERGEFORMAT</w:instrText>
        </w:r>
        <w:r>
          <w:fldChar w:fldCharType="separate"/>
        </w:r>
        <w:r>
          <w:t>2</w:t>
        </w:r>
        <w:r>
          <w:fldChar w:fldCharType="end"/>
        </w:r>
      </w:p>
    </w:sdtContent>
  </w:sdt>
  <w:p w14:paraId="4865874F" w14:textId="77777777" w:rsidR="000A3EFC" w:rsidRDefault="000A3E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A5F5A" w14:textId="77777777" w:rsidR="00476C1F" w:rsidRDefault="00476C1F" w:rsidP="00F85644">
      <w:pPr>
        <w:spacing w:before="0" w:after="0" w:line="240" w:lineRule="auto"/>
      </w:pPr>
      <w:r>
        <w:separator/>
      </w:r>
    </w:p>
  </w:footnote>
  <w:footnote w:type="continuationSeparator" w:id="0">
    <w:p w14:paraId="41B6D434" w14:textId="77777777" w:rsidR="00476C1F" w:rsidRDefault="00476C1F" w:rsidP="00F856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E6A5" w14:textId="44408CA3" w:rsidR="00F85644" w:rsidRDefault="00F85644" w:rsidP="00F85644">
    <w:pPr>
      <w:pStyle w:val="Encabezado"/>
      <w:ind w:left="-567"/>
    </w:pPr>
    <w:r>
      <w:rPr>
        <w:noProof/>
      </w:rPr>
      <w:drawing>
        <wp:inline distT="0" distB="0" distL="0" distR="0" wp14:anchorId="51CEFA44" wp14:editId="253486F9">
          <wp:extent cx="810883" cy="849221"/>
          <wp:effectExtent l="0" t="0" r="8890" b="8255"/>
          <wp:docPr id="144080485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1843"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59" cy="871817"/>
                  </a:xfrm>
                  <a:prstGeom prst="rect">
                    <a:avLst/>
                  </a:prstGeom>
                  <a:noFill/>
                  <a:ln>
                    <a:noFill/>
                  </a:ln>
                </pic:spPr>
              </pic:pic>
            </a:graphicData>
          </a:graphic>
        </wp:inline>
      </w:drawing>
    </w:r>
  </w:p>
  <w:p w14:paraId="1C8A4323" w14:textId="77777777" w:rsidR="00F85644" w:rsidRDefault="00F856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D7DC4"/>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B5297E"/>
    <w:multiLevelType w:val="hybridMultilevel"/>
    <w:tmpl w:val="DA78A620"/>
    <w:lvl w:ilvl="0" w:tplc="18327B04">
      <w:start w:val="1"/>
      <w:numFmt w:val="decimal"/>
      <w:lvlText w:val="(%1)"/>
      <w:lvlJc w:val="left"/>
      <w:pPr>
        <w:ind w:left="744" w:hanging="384"/>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0B1C41"/>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C66338"/>
    <w:multiLevelType w:val="hybridMultilevel"/>
    <w:tmpl w:val="2A4862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B136794"/>
    <w:multiLevelType w:val="hybridMultilevel"/>
    <w:tmpl w:val="C66A7D94"/>
    <w:lvl w:ilvl="0" w:tplc="48684FE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421945"/>
    <w:multiLevelType w:val="hybridMultilevel"/>
    <w:tmpl w:val="47A4F1B8"/>
    <w:lvl w:ilvl="0" w:tplc="DF2C3C4E">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8C002D3"/>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A54B6B"/>
    <w:multiLevelType w:val="multilevel"/>
    <w:tmpl w:val="1C2C0D20"/>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4DA5592"/>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8846518"/>
    <w:multiLevelType w:val="hybridMultilevel"/>
    <w:tmpl w:val="E204550A"/>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9B05998"/>
    <w:multiLevelType w:val="hybridMultilevel"/>
    <w:tmpl w:val="FB6E4B0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F20B6F"/>
    <w:multiLevelType w:val="hybridMultilevel"/>
    <w:tmpl w:val="FB6E4B02"/>
    <w:lvl w:ilvl="0" w:tplc="640EEAD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274085"/>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B21686"/>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0A1FFB"/>
    <w:multiLevelType w:val="hybridMultilevel"/>
    <w:tmpl w:val="76AAF2AC"/>
    <w:lvl w:ilvl="0" w:tplc="C77A3ED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45F6997"/>
    <w:multiLevelType w:val="hybridMultilevel"/>
    <w:tmpl w:val="96A6E3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69041416">
    <w:abstractNumId w:val="14"/>
  </w:num>
  <w:num w:numId="2" w16cid:durableId="1605770741">
    <w:abstractNumId w:val="7"/>
  </w:num>
  <w:num w:numId="3" w16cid:durableId="149180034">
    <w:abstractNumId w:val="1"/>
  </w:num>
  <w:num w:numId="4" w16cid:durableId="1431001676">
    <w:abstractNumId w:val="5"/>
  </w:num>
  <w:num w:numId="5" w16cid:durableId="427233807">
    <w:abstractNumId w:val="6"/>
  </w:num>
  <w:num w:numId="6" w16cid:durableId="1357387820">
    <w:abstractNumId w:val="13"/>
  </w:num>
  <w:num w:numId="7" w16cid:durableId="260187530">
    <w:abstractNumId w:val="2"/>
  </w:num>
  <w:num w:numId="8" w16cid:durableId="2019119411">
    <w:abstractNumId w:val="8"/>
  </w:num>
  <w:num w:numId="9" w16cid:durableId="1841575817">
    <w:abstractNumId w:val="12"/>
  </w:num>
  <w:num w:numId="10" w16cid:durableId="393550842">
    <w:abstractNumId w:val="0"/>
  </w:num>
  <w:num w:numId="11" w16cid:durableId="1966884365">
    <w:abstractNumId w:val="11"/>
  </w:num>
  <w:num w:numId="12" w16cid:durableId="1729062786">
    <w:abstractNumId w:val="10"/>
  </w:num>
  <w:num w:numId="13" w16cid:durableId="1438453228">
    <w:abstractNumId w:val="15"/>
  </w:num>
  <w:num w:numId="14" w16cid:durableId="832262646">
    <w:abstractNumId w:val="3"/>
  </w:num>
  <w:num w:numId="15" w16cid:durableId="1152941041">
    <w:abstractNumId w:val="4"/>
  </w:num>
  <w:num w:numId="16" w16cid:durableId="654981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034"/>
    <w:rsid w:val="00062B22"/>
    <w:rsid w:val="00096982"/>
    <w:rsid w:val="000A3EFC"/>
    <w:rsid w:val="001C4158"/>
    <w:rsid w:val="00257B49"/>
    <w:rsid w:val="0028725C"/>
    <w:rsid w:val="003B0C0E"/>
    <w:rsid w:val="00476C1F"/>
    <w:rsid w:val="00484144"/>
    <w:rsid w:val="0055741F"/>
    <w:rsid w:val="005C1831"/>
    <w:rsid w:val="006924FE"/>
    <w:rsid w:val="006D4FC0"/>
    <w:rsid w:val="00796956"/>
    <w:rsid w:val="007B1BE0"/>
    <w:rsid w:val="00857618"/>
    <w:rsid w:val="008C7034"/>
    <w:rsid w:val="0090673D"/>
    <w:rsid w:val="009334D2"/>
    <w:rsid w:val="0093463D"/>
    <w:rsid w:val="00AA5775"/>
    <w:rsid w:val="00BD18DA"/>
    <w:rsid w:val="00C86EC5"/>
    <w:rsid w:val="00D00DA3"/>
    <w:rsid w:val="00D1662F"/>
    <w:rsid w:val="00DD1370"/>
    <w:rsid w:val="00DD1834"/>
    <w:rsid w:val="00F11C85"/>
    <w:rsid w:val="00F146A2"/>
    <w:rsid w:val="00F553F2"/>
    <w:rsid w:val="00F8564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C071"/>
  <w15:chartTrackingRefBased/>
  <w15:docId w15:val="{DD9F0554-83D5-4C3E-8DDB-547F55CF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14:ligatures w14:val="standardContextual"/>
      </w:rPr>
    </w:rPrDefault>
    <w:pPrDefault>
      <w:pPr>
        <w:spacing w:before="100" w:after="100" w:line="10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618"/>
  </w:style>
  <w:style w:type="paragraph" w:styleId="Ttulo1">
    <w:name w:val="heading 1"/>
    <w:basedOn w:val="Normal"/>
    <w:next w:val="Normal"/>
    <w:link w:val="Ttulo1Car"/>
    <w:autoRedefine/>
    <w:uiPriority w:val="9"/>
    <w:qFormat/>
    <w:rsid w:val="00857618"/>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857618"/>
    <w:pPr>
      <w:keepNext/>
      <w:keepLines/>
      <w:numPr>
        <w:numId w:val="2"/>
      </w:numPr>
      <w:spacing w:before="160" w:after="120"/>
      <w:ind w:hanging="360"/>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8C70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70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70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70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70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70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70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618"/>
    <w:rPr>
      <w:rFonts w:eastAsiaTheme="majorEastAsia" w:cstheme="majorBidi"/>
      <w:b/>
      <w:sz w:val="24"/>
      <w:szCs w:val="32"/>
    </w:rPr>
  </w:style>
  <w:style w:type="character" w:customStyle="1" w:styleId="Ttulo2Car">
    <w:name w:val="Título 2 Car"/>
    <w:basedOn w:val="Fuentedeprrafopredeter"/>
    <w:link w:val="Ttulo2"/>
    <w:uiPriority w:val="9"/>
    <w:rsid w:val="00857618"/>
    <w:rPr>
      <w:rFonts w:eastAsiaTheme="majorEastAsia" w:cstheme="majorBidi"/>
      <w:b/>
      <w:sz w:val="24"/>
      <w:szCs w:val="26"/>
    </w:rPr>
  </w:style>
  <w:style w:type="character" w:customStyle="1" w:styleId="Ttulo3Car">
    <w:name w:val="Título 3 Car"/>
    <w:basedOn w:val="Fuentedeprrafopredeter"/>
    <w:link w:val="Ttulo3"/>
    <w:uiPriority w:val="9"/>
    <w:semiHidden/>
    <w:rsid w:val="008C70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70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70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70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70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70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7034"/>
    <w:rPr>
      <w:rFonts w:eastAsiaTheme="majorEastAsia" w:cstheme="majorBidi"/>
      <w:color w:val="272727" w:themeColor="text1" w:themeTint="D8"/>
    </w:rPr>
  </w:style>
  <w:style w:type="paragraph" w:styleId="Ttulo">
    <w:name w:val="Title"/>
    <w:basedOn w:val="Normal"/>
    <w:next w:val="Normal"/>
    <w:link w:val="TtuloCar"/>
    <w:uiPriority w:val="10"/>
    <w:qFormat/>
    <w:rsid w:val="008C7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70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70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70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7034"/>
    <w:pPr>
      <w:spacing w:before="160"/>
      <w:jc w:val="center"/>
    </w:pPr>
    <w:rPr>
      <w:i/>
      <w:iCs/>
      <w:color w:val="404040" w:themeColor="text1" w:themeTint="BF"/>
    </w:rPr>
  </w:style>
  <w:style w:type="character" w:customStyle="1" w:styleId="CitaCar">
    <w:name w:val="Cita Car"/>
    <w:basedOn w:val="Fuentedeprrafopredeter"/>
    <w:link w:val="Cita"/>
    <w:uiPriority w:val="29"/>
    <w:rsid w:val="008C7034"/>
    <w:rPr>
      <w:i/>
      <w:iCs/>
      <w:color w:val="404040" w:themeColor="text1" w:themeTint="BF"/>
    </w:rPr>
  </w:style>
  <w:style w:type="paragraph" w:styleId="Prrafodelista">
    <w:name w:val="List Paragraph"/>
    <w:basedOn w:val="Normal"/>
    <w:uiPriority w:val="34"/>
    <w:qFormat/>
    <w:rsid w:val="008C7034"/>
    <w:pPr>
      <w:ind w:left="720"/>
      <w:contextualSpacing/>
    </w:pPr>
  </w:style>
  <w:style w:type="character" w:styleId="nfasisintenso">
    <w:name w:val="Intense Emphasis"/>
    <w:basedOn w:val="Fuentedeprrafopredeter"/>
    <w:uiPriority w:val="21"/>
    <w:qFormat/>
    <w:rsid w:val="008C7034"/>
    <w:rPr>
      <w:i/>
      <w:iCs/>
      <w:color w:val="0F4761" w:themeColor="accent1" w:themeShade="BF"/>
    </w:rPr>
  </w:style>
  <w:style w:type="paragraph" w:styleId="Citadestacada">
    <w:name w:val="Intense Quote"/>
    <w:basedOn w:val="Normal"/>
    <w:next w:val="Normal"/>
    <w:link w:val="CitadestacadaCar"/>
    <w:uiPriority w:val="30"/>
    <w:qFormat/>
    <w:rsid w:val="008C7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7034"/>
    <w:rPr>
      <w:i/>
      <w:iCs/>
      <w:color w:val="0F4761" w:themeColor="accent1" w:themeShade="BF"/>
    </w:rPr>
  </w:style>
  <w:style w:type="character" w:styleId="Referenciaintensa">
    <w:name w:val="Intense Reference"/>
    <w:basedOn w:val="Fuentedeprrafopredeter"/>
    <w:uiPriority w:val="32"/>
    <w:qFormat/>
    <w:rsid w:val="008C7034"/>
    <w:rPr>
      <w:b/>
      <w:bCs/>
      <w:smallCaps/>
      <w:color w:val="0F4761" w:themeColor="accent1" w:themeShade="BF"/>
      <w:spacing w:val="5"/>
    </w:rPr>
  </w:style>
  <w:style w:type="paragraph" w:customStyle="1" w:styleId="Estilo1">
    <w:name w:val="Estilo1"/>
    <w:basedOn w:val="NormalWeb"/>
    <w:rsid w:val="00F85644"/>
    <w:pPr>
      <w:widowControl w:val="0"/>
      <w:suppressAutoHyphens/>
    </w:pPr>
    <w:rPr>
      <w:rFonts w:ascii="Arial" w:eastAsia="Times New Roman" w:hAnsi="Arial" w:cs="Arial"/>
      <w:bCs/>
      <w:kern w:val="1"/>
      <w:sz w:val="20"/>
      <w:szCs w:val="20"/>
      <w:lang w:eastAsia="ar-SA"/>
      <w14:ligatures w14:val="none"/>
    </w:rPr>
  </w:style>
  <w:style w:type="paragraph" w:styleId="NormalWeb">
    <w:name w:val="Normal (Web)"/>
    <w:basedOn w:val="Normal"/>
    <w:uiPriority w:val="99"/>
    <w:semiHidden/>
    <w:unhideWhenUsed/>
    <w:rsid w:val="00F85644"/>
    <w:rPr>
      <w:rFonts w:ascii="Times New Roman" w:hAnsi="Times New Roman" w:cs="Times New Roman"/>
      <w:sz w:val="24"/>
      <w:szCs w:val="24"/>
    </w:rPr>
  </w:style>
  <w:style w:type="character" w:customStyle="1" w:styleId="Fuentedeprrafopredeter2">
    <w:name w:val="Fuente de párrafo predeter.2"/>
    <w:rsid w:val="00F85644"/>
  </w:style>
  <w:style w:type="paragraph" w:styleId="Encabezado">
    <w:name w:val="header"/>
    <w:basedOn w:val="Normal"/>
    <w:link w:val="EncabezadoCar"/>
    <w:uiPriority w:val="99"/>
    <w:unhideWhenUsed/>
    <w:rsid w:val="00F856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5644"/>
  </w:style>
  <w:style w:type="paragraph" w:styleId="Piedepgina">
    <w:name w:val="footer"/>
    <w:basedOn w:val="Normal"/>
    <w:link w:val="PiedepginaCar"/>
    <w:uiPriority w:val="99"/>
    <w:unhideWhenUsed/>
    <w:rsid w:val="00F856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5644"/>
  </w:style>
  <w:style w:type="paragraph" w:customStyle="1" w:styleId="Default">
    <w:name w:val="Default"/>
    <w:rsid w:val="009334D2"/>
    <w:pPr>
      <w:autoSpaceDE w:val="0"/>
      <w:autoSpaceDN w:val="0"/>
      <w:adjustRightInd w:val="0"/>
      <w:spacing w:before="0" w:after="0" w:line="240" w:lineRule="auto"/>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95561">
      <w:bodyDiv w:val="1"/>
      <w:marLeft w:val="0"/>
      <w:marRight w:val="0"/>
      <w:marTop w:val="0"/>
      <w:marBottom w:val="0"/>
      <w:divBdr>
        <w:top w:val="none" w:sz="0" w:space="0" w:color="auto"/>
        <w:left w:val="none" w:sz="0" w:space="0" w:color="auto"/>
        <w:bottom w:val="none" w:sz="0" w:space="0" w:color="auto"/>
        <w:right w:val="none" w:sz="0" w:space="0" w:color="auto"/>
      </w:divBdr>
    </w:div>
    <w:div w:id="837617597">
      <w:bodyDiv w:val="1"/>
      <w:marLeft w:val="0"/>
      <w:marRight w:val="0"/>
      <w:marTop w:val="0"/>
      <w:marBottom w:val="0"/>
      <w:divBdr>
        <w:top w:val="none" w:sz="0" w:space="0" w:color="auto"/>
        <w:left w:val="none" w:sz="0" w:space="0" w:color="auto"/>
        <w:bottom w:val="none" w:sz="0" w:space="0" w:color="auto"/>
        <w:right w:val="none" w:sz="0" w:space="0" w:color="auto"/>
      </w:divBdr>
    </w:div>
    <w:div w:id="1171679064">
      <w:bodyDiv w:val="1"/>
      <w:marLeft w:val="0"/>
      <w:marRight w:val="0"/>
      <w:marTop w:val="0"/>
      <w:marBottom w:val="0"/>
      <w:divBdr>
        <w:top w:val="none" w:sz="0" w:space="0" w:color="auto"/>
        <w:left w:val="none" w:sz="0" w:space="0" w:color="auto"/>
        <w:bottom w:val="none" w:sz="0" w:space="0" w:color="auto"/>
        <w:right w:val="none" w:sz="0" w:space="0" w:color="auto"/>
      </w:divBdr>
    </w:div>
    <w:div w:id="1285694725">
      <w:bodyDiv w:val="1"/>
      <w:marLeft w:val="0"/>
      <w:marRight w:val="0"/>
      <w:marTop w:val="0"/>
      <w:marBottom w:val="0"/>
      <w:divBdr>
        <w:top w:val="none" w:sz="0" w:space="0" w:color="auto"/>
        <w:left w:val="none" w:sz="0" w:space="0" w:color="auto"/>
        <w:bottom w:val="none" w:sz="0" w:space="0" w:color="auto"/>
        <w:right w:val="none" w:sz="0" w:space="0" w:color="auto"/>
      </w:divBdr>
    </w:div>
    <w:div w:id="1351302126">
      <w:bodyDiv w:val="1"/>
      <w:marLeft w:val="0"/>
      <w:marRight w:val="0"/>
      <w:marTop w:val="0"/>
      <w:marBottom w:val="0"/>
      <w:divBdr>
        <w:top w:val="none" w:sz="0" w:space="0" w:color="auto"/>
        <w:left w:val="none" w:sz="0" w:space="0" w:color="auto"/>
        <w:bottom w:val="none" w:sz="0" w:space="0" w:color="auto"/>
        <w:right w:val="none" w:sz="0" w:space="0" w:color="auto"/>
      </w:divBdr>
    </w:div>
    <w:div w:id="185926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1417</Words>
  <Characters>7798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González Cagigal</dc:creator>
  <cp:keywords/>
  <dc:description/>
  <cp:lastModifiedBy>David González Cagigal</cp:lastModifiedBy>
  <cp:revision>5</cp:revision>
  <dcterms:created xsi:type="dcterms:W3CDTF">2025-01-20T18:14:00Z</dcterms:created>
  <dcterms:modified xsi:type="dcterms:W3CDTF">2025-04-03T16:04:00Z</dcterms:modified>
</cp:coreProperties>
</file>