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8F3FC" w14:textId="1D2BB09C" w:rsidR="00F85644" w:rsidRDefault="00F85644" w:rsidP="0076279D">
      <w:pPr>
        <w:pStyle w:val="Estilo1"/>
        <w:ind w:left="708" w:right="141" w:hanging="708"/>
        <w:jc w:val="center"/>
        <w:rPr>
          <w:rFonts w:ascii="Times New Roman" w:hAnsi="Times New Roman" w:cs="Times New Roman"/>
          <w:b/>
          <w:sz w:val="24"/>
          <w:szCs w:val="24"/>
        </w:rPr>
      </w:pPr>
      <w:r w:rsidRPr="00F85644">
        <w:rPr>
          <w:rFonts w:ascii="Times New Roman" w:hAnsi="Times New Roman" w:cs="Times New Roman"/>
          <w:b/>
          <w:sz w:val="24"/>
          <w:szCs w:val="24"/>
        </w:rPr>
        <w:t xml:space="preserve">ANEXO </w:t>
      </w:r>
      <w:r w:rsidR="00D33B48">
        <w:rPr>
          <w:rFonts w:ascii="Times New Roman" w:hAnsi="Times New Roman" w:cs="Times New Roman"/>
          <w:b/>
          <w:sz w:val="24"/>
          <w:szCs w:val="24"/>
        </w:rPr>
        <w:t>X</w:t>
      </w:r>
      <w:r w:rsidR="004E3F02">
        <w:rPr>
          <w:rFonts w:ascii="Times New Roman" w:hAnsi="Times New Roman" w:cs="Times New Roman"/>
          <w:b/>
          <w:sz w:val="24"/>
          <w:szCs w:val="24"/>
        </w:rPr>
        <w:t>I</w:t>
      </w:r>
    </w:p>
    <w:p w14:paraId="775859AC" w14:textId="77777777" w:rsidR="00F85644" w:rsidRPr="00F85644" w:rsidRDefault="00F85644" w:rsidP="00F146A2">
      <w:pPr>
        <w:pStyle w:val="Estilo1"/>
        <w:ind w:right="141"/>
        <w:jc w:val="center"/>
        <w:rPr>
          <w:rFonts w:ascii="Times New Roman" w:hAnsi="Times New Roman" w:cs="Times New Roman"/>
          <w:b/>
          <w:sz w:val="24"/>
          <w:szCs w:val="24"/>
        </w:rPr>
      </w:pPr>
    </w:p>
    <w:p w14:paraId="74290A0D" w14:textId="3ED660D6" w:rsidR="007B1BE0" w:rsidRDefault="00D33B48" w:rsidP="00F146A2">
      <w:pPr>
        <w:pStyle w:val="Estilo1"/>
        <w:ind w:right="141"/>
        <w:jc w:val="center"/>
        <w:rPr>
          <w:rFonts w:ascii="Times New Roman" w:hAnsi="Times New Roman" w:cs="Times New Roman"/>
          <w:b/>
          <w:sz w:val="24"/>
          <w:szCs w:val="24"/>
        </w:rPr>
      </w:pPr>
      <w:r>
        <w:rPr>
          <w:rFonts w:ascii="Times New Roman" w:hAnsi="Times New Roman" w:cs="Times New Roman"/>
          <w:b/>
          <w:sz w:val="24"/>
          <w:szCs w:val="24"/>
        </w:rPr>
        <w:t>DEFINICIONES</w:t>
      </w:r>
    </w:p>
    <w:p w14:paraId="66D561AE" w14:textId="77777777" w:rsidR="004E3F02" w:rsidRDefault="004E3F02" w:rsidP="00F146A2">
      <w:pPr>
        <w:pStyle w:val="Estilo1"/>
        <w:ind w:right="141"/>
        <w:jc w:val="center"/>
        <w:rPr>
          <w:rFonts w:ascii="Times New Roman" w:hAnsi="Times New Roman" w:cs="Times New Roman"/>
          <w:b/>
          <w:bCs w:val="0"/>
          <w:sz w:val="24"/>
          <w:szCs w:val="24"/>
        </w:rPr>
      </w:pPr>
    </w:p>
    <w:p w14:paraId="5DB0A585" w14:textId="5C2207B6" w:rsidR="00D33B48" w:rsidRDefault="00D33B48" w:rsidP="004E3F02">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Actividad: </w:t>
      </w:r>
      <w:r w:rsidRPr="00D33B48">
        <w:rPr>
          <w:rFonts w:ascii="Times New Roman" w:hAnsi="Times New Roman" w:cs="Times New Roman"/>
          <w:color w:val="000000"/>
          <w:sz w:val="24"/>
          <w:szCs w:val="24"/>
        </w:rPr>
        <w:t>emisor acústico sujeto a legalización municipal, mediante autorización, licencia o declaración responsable, o sujeto a legalización por otra administración distinta de la municipal.</w:t>
      </w:r>
    </w:p>
    <w:p w14:paraId="4247BDBD"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Actividad con instalación de megafonía: </w:t>
      </w:r>
      <w:r w:rsidRPr="00D33B48">
        <w:rPr>
          <w:rFonts w:ascii="Times New Roman" w:hAnsi="Times New Roman" w:cs="Times New Roman"/>
          <w:color w:val="000000"/>
          <w:sz w:val="24"/>
          <w:szCs w:val="24"/>
        </w:rPr>
        <w:t xml:space="preserve">actividad donde dicha instalación es utilizada para amplificar la voz humana emitida en directo en el propio establecimiento, con objeto de transmitir información a la audiencia asistente sobre cultura, servicios, publicidad, mensajes, avisos, etc. A efectos de la Ordenanza, las actividades con megafonía se consideran actividades con música, excepto cuando dicha instalación se use para interpretar música en directo, en cuyo caso tendrán la consideración de actividades con música en directo. </w:t>
      </w:r>
    </w:p>
    <w:p w14:paraId="5546CFA8"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Actividad con karaoke</w:t>
      </w:r>
      <w:r w:rsidRPr="00D33B48">
        <w:rPr>
          <w:rFonts w:ascii="Times New Roman" w:hAnsi="Times New Roman" w:cs="Times New Roman"/>
          <w:color w:val="000000"/>
          <w:sz w:val="24"/>
          <w:szCs w:val="24"/>
        </w:rPr>
        <w:t xml:space="preserve">: véase: “karaoke”. </w:t>
      </w:r>
    </w:p>
    <w:p w14:paraId="18994244"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Actividad con música: </w:t>
      </w:r>
      <w:r w:rsidRPr="00D33B48">
        <w:rPr>
          <w:rFonts w:ascii="Times New Roman" w:hAnsi="Times New Roman" w:cs="Times New Roman"/>
          <w:color w:val="000000"/>
          <w:sz w:val="24"/>
          <w:szCs w:val="24"/>
        </w:rPr>
        <w:t xml:space="preserve">toda actividad que disponga de cualquier sistema, instalación o aparato electrónico con amplificación de sonido y altavoz o altavoces, integrados o independientes. </w:t>
      </w:r>
    </w:p>
    <w:p w14:paraId="0D0BF3B9" w14:textId="781592DB" w:rsid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Actividad con música en directo: </w:t>
      </w:r>
      <w:r w:rsidRPr="00D33B48">
        <w:rPr>
          <w:rFonts w:ascii="Times New Roman" w:hAnsi="Times New Roman" w:cs="Times New Roman"/>
          <w:color w:val="000000"/>
          <w:sz w:val="24"/>
          <w:szCs w:val="24"/>
        </w:rPr>
        <w:t xml:space="preserve">toda actividad donde la música se genere en el propio establecimiento por interpretación directa de actuantes o ejecutantes. </w:t>
      </w:r>
    </w:p>
    <w:p w14:paraId="29DFF510" w14:textId="21948C79" w:rsidR="0052327F" w:rsidRPr="00D33B48" w:rsidRDefault="0052327F" w:rsidP="0052327F">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Actividad </w:t>
      </w:r>
      <w:r>
        <w:rPr>
          <w:rFonts w:ascii="Times New Roman" w:hAnsi="Times New Roman" w:cs="Times New Roman"/>
          <w:b/>
          <w:color w:val="000000"/>
          <w:sz w:val="24"/>
          <w:szCs w:val="24"/>
        </w:rPr>
        <w:t>de esparcimiento</w:t>
      </w:r>
      <w:r w:rsidRPr="00D33B48">
        <w:rPr>
          <w:rFonts w:ascii="Times New Roman" w:hAnsi="Times New Roman" w:cs="Times New Roman"/>
          <w:b/>
          <w:color w:val="000000"/>
          <w:sz w:val="24"/>
          <w:szCs w:val="24"/>
        </w:rPr>
        <w:t xml:space="preserve">: </w:t>
      </w:r>
      <w:r w:rsidRPr="0052327F">
        <w:rPr>
          <w:rFonts w:ascii="Times New Roman" w:hAnsi="Times New Roman" w:cs="Times New Roman"/>
          <w:sz w:val="24"/>
          <w:szCs w:val="24"/>
        </w:rPr>
        <w:t xml:space="preserve">toda actividad destinada al entretenimiento, recreación o diversión de las personas en su tiempo libre. Estas actividades pueden realizarse en espacios públicos o privados y pueden ser de carácter cultural, deportivo, social o lúdico. </w:t>
      </w:r>
    </w:p>
    <w:p w14:paraId="1E91ABAB"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Actividad industrial: </w:t>
      </w:r>
      <w:r w:rsidRPr="00D33B48">
        <w:rPr>
          <w:rFonts w:ascii="Times New Roman" w:hAnsi="Times New Roman" w:cs="Times New Roman"/>
          <w:color w:val="000000"/>
          <w:sz w:val="24"/>
          <w:szCs w:val="24"/>
        </w:rPr>
        <w:t xml:space="preserve">toda actividad sujeta a inscripción en el registro de establecimientos industriales conforme a la legislación sectorial vigente, así como todo tipo de actividad productiva definida como tal en las normas urbanísticas municipales. </w:t>
      </w:r>
    </w:p>
    <w:p w14:paraId="55738015"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Actividad no ruidosa: </w:t>
      </w:r>
      <w:r w:rsidRPr="00D33B48">
        <w:rPr>
          <w:rFonts w:ascii="Times New Roman" w:hAnsi="Times New Roman" w:cs="Times New Roman"/>
          <w:color w:val="000000"/>
          <w:sz w:val="24"/>
          <w:szCs w:val="24"/>
        </w:rPr>
        <w:t xml:space="preserve">toda actividad con nivel sonoro aplicado inferior o igual a 80 </w:t>
      </w:r>
      <w:proofErr w:type="spellStart"/>
      <w:r w:rsidRPr="00D33B48">
        <w:rPr>
          <w:rFonts w:ascii="Times New Roman" w:hAnsi="Times New Roman" w:cs="Times New Roman"/>
          <w:color w:val="000000"/>
          <w:sz w:val="24"/>
          <w:szCs w:val="24"/>
        </w:rPr>
        <w:t>dBA</w:t>
      </w:r>
      <w:proofErr w:type="spellEnd"/>
      <w:r w:rsidRPr="00D33B48">
        <w:rPr>
          <w:rFonts w:ascii="Times New Roman" w:hAnsi="Times New Roman" w:cs="Times New Roman"/>
          <w:color w:val="000000"/>
          <w:sz w:val="24"/>
          <w:szCs w:val="24"/>
        </w:rPr>
        <w:t xml:space="preserve">. </w:t>
      </w:r>
    </w:p>
    <w:p w14:paraId="4B0591FA"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Actividad ruidosa: </w:t>
      </w:r>
      <w:r w:rsidRPr="00D33B48">
        <w:rPr>
          <w:rFonts w:ascii="Times New Roman" w:hAnsi="Times New Roman" w:cs="Times New Roman"/>
          <w:color w:val="000000"/>
          <w:sz w:val="24"/>
          <w:szCs w:val="24"/>
        </w:rPr>
        <w:t xml:space="preserve">toda actividad con nivel sonoro aplicado superior a 80 </w:t>
      </w:r>
      <w:proofErr w:type="spellStart"/>
      <w:r w:rsidRPr="00D33B48">
        <w:rPr>
          <w:rFonts w:ascii="Times New Roman" w:hAnsi="Times New Roman" w:cs="Times New Roman"/>
          <w:color w:val="000000"/>
          <w:sz w:val="24"/>
          <w:szCs w:val="24"/>
        </w:rPr>
        <w:t>dBA</w:t>
      </w:r>
      <w:proofErr w:type="spellEnd"/>
      <w:r w:rsidRPr="00D33B48">
        <w:rPr>
          <w:rFonts w:ascii="Times New Roman" w:hAnsi="Times New Roman" w:cs="Times New Roman"/>
          <w:color w:val="000000"/>
          <w:sz w:val="24"/>
          <w:szCs w:val="24"/>
        </w:rPr>
        <w:t xml:space="preserve">. </w:t>
      </w:r>
    </w:p>
    <w:p w14:paraId="2FBDF053"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Aglomeración: </w:t>
      </w:r>
      <w:r w:rsidRPr="00D33B48">
        <w:rPr>
          <w:rFonts w:ascii="Times New Roman" w:hAnsi="Times New Roman" w:cs="Times New Roman"/>
          <w:color w:val="000000"/>
          <w:sz w:val="24"/>
          <w:szCs w:val="24"/>
        </w:rPr>
        <w:t xml:space="preserve">porción de un territorio con más de 100.000 habitantes delimitada por la administración competente aplicando los criterios básicos del anexo VII del R.D. 1513/2005, de 16 de diciembre, que es considerada zona urbanizada por dicha administración. </w:t>
      </w:r>
    </w:p>
    <w:p w14:paraId="24B96517"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Altavoz: </w:t>
      </w:r>
      <w:r w:rsidRPr="00D33B48">
        <w:rPr>
          <w:rFonts w:ascii="Times New Roman" w:hAnsi="Times New Roman" w:cs="Times New Roman"/>
          <w:color w:val="000000"/>
          <w:sz w:val="24"/>
          <w:szCs w:val="24"/>
        </w:rPr>
        <w:t xml:space="preserve">elemento de una instalación musical que consiste básicamente en un transductor de señal electroacústico, pudiendo integrar amplificación de audio. </w:t>
      </w:r>
    </w:p>
    <w:p w14:paraId="7767DB06"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color w:val="000000"/>
          <w:sz w:val="24"/>
          <w:szCs w:val="24"/>
        </w:rPr>
        <w:t xml:space="preserve">- </w:t>
      </w:r>
      <w:r w:rsidRPr="00D33B48">
        <w:rPr>
          <w:rFonts w:ascii="Times New Roman" w:hAnsi="Times New Roman" w:cs="Times New Roman"/>
          <w:b/>
          <w:color w:val="000000"/>
          <w:sz w:val="24"/>
          <w:szCs w:val="24"/>
        </w:rPr>
        <w:t xml:space="preserve">Ambulancia de urgencias: </w:t>
      </w:r>
      <w:r w:rsidRPr="00D33B48">
        <w:rPr>
          <w:rFonts w:ascii="Times New Roman" w:hAnsi="Times New Roman" w:cs="Times New Roman"/>
          <w:color w:val="000000"/>
          <w:sz w:val="24"/>
          <w:szCs w:val="24"/>
        </w:rPr>
        <w:t xml:space="preserve">vehículo a motor especialmente concebido para el traslado urgente de enfermos en situaciones de emergencia, dotado de personal y medios sanitarios al efecto, por </w:t>
      </w:r>
      <w:proofErr w:type="gramStart"/>
      <w:r w:rsidRPr="00D33B48">
        <w:rPr>
          <w:rFonts w:ascii="Times New Roman" w:hAnsi="Times New Roman" w:cs="Times New Roman"/>
          <w:color w:val="000000"/>
          <w:sz w:val="24"/>
          <w:szCs w:val="24"/>
        </w:rPr>
        <w:t>ejemplo</w:t>
      </w:r>
      <w:proofErr w:type="gramEnd"/>
      <w:r w:rsidRPr="00D33B48">
        <w:rPr>
          <w:rFonts w:ascii="Times New Roman" w:hAnsi="Times New Roman" w:cs="Times New Roman"/>
          <w:color w:val="000000"/>
          <w:sz w:val="24"/>
          <w:szCs w:val="24"/>
        </w:rPr>
        <w:t xml:space="preserve"> las ambulancias del 061 o las del DCCU (Dispositivo de cuidados críticos y urgentes). Son las ambulancias definidas como asistenciales en el RD 836/2012, de 25 de mayo, acondicionadas para permitir la asistencia técnico-sanitaria en ruta. </w:t>
      </w:r>
    </w:p>
    <w:p w14:paraId="664A73CE"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color w:val="000000"/>
          <w:sz w:val="24"/>
          <w:szCs w:val="24"/>
        </w:rPr>
        <w:lastRenderedPageBreak/>
        <w:t xml:space="preserve">- </w:t>
      </w:r>
      <w:r w:rsidRPr="00D33B48">
        <w:rPr>
          <w:rFonts w:ascii="Times New Roman" w:hAnsi="Times New Roman" w:cs="Times New Roman"/>
          <w:b/>
          <w:color w:val="000000"/>
          <w:sz w:val="24"/>
          <w:szCs w:val="24"/>
        </w:rPr>
        <w:t xml:space="preserve">Ambulancia tradicional: </w:t>
      </w:r>
      <w:r w:rsidRPr="00D33B48">
        <w:rPr>
          <w:rFonts w:ascii="Times New Roman" w:hAnsi="Times New Roman" w:cs="Times New Roman"/>
          <w:color w:val="000000"/>
          <w:sz w:val="24"/>
          <w:szCs w:val="24"/>
        </w:rPr>
        <w:t xml:space="preserve">vehículo a motor apto para el traslado de enfermos que no ha de reunir otro requisito que el transporte en decúbito. Son las ambulancias definidas como no asistenciales en el RD 836/2012, de 25 de mayo, no acondicionadas para la asistencia sanitaria en ruta y normalmente utilizadas para el traslado de enfermos en situaciones que no revistan emergencia. </w:t>
      </w:r>
    </w:p>
    <w:p w14:paraId="5149A523"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Amplificador de sonido: </w:t>
      </w:r>
      <w:r w:rsidRPr="00D33B48">
        <w:rPr>
          <w:rFonts w:ascii="Times New Roman" w:hAnsi="Times New Roman" w:cs="Times New Roman"/>
          <w:color w:val="000000"/>
          <w:sz w:val="24"/>
          <w:szCs w:val="24"/>
        </w:rPr>
        <w:t xml:space="preserve">elemento de una instalación musical que integra elementos electrónicos cuyo fin principal es amplificar la señal de audio recibida de otro elemento de la cadena de sonido. </w:t>
      </w:r>
    </w:p>
    <w:p w14:paraId="115120DC"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Área de sensibilidad acústica (ASA): </w:t>
      </w:r>
      <w:r w:rsidRPr="00D33B48">
        <w:rPr>
          <w:rFonts w:ascii="Times New Roman" w:hAnsi="Times New Roman" w:cs="Times New Roman"/>
          <w:color w:val="000000"/>
          <w:sz w:val="24"/>
          <w:szCs w:val="24"/>
        </w:rPr>
        <w:t xml:space="preserve">ámbito territorial delimitado por el Ayuntamiento donde se pretende que exista una calidad acústica homogénea. Las ASA que tengan la misma categoría presentarán el mismo objetivo de calidad acústica. </w:t>
      </w:r>
    </w:p>
    <w:p w14:paraId="70665609"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Área urbanizada: </w:t>
      </w:r>
      <w:r w:rsidRPr="00D33B48">
        <w:rPr>
          <w:rFonts w:ascii="Times New Roman" w:hAnsi="Times New Roman" w:cs="Times New Roman"/>
          <w:color w:val="000000"/>
          <w:sz w:val="24"/>
          <w:szCs w:val="24"/>
        </w:rPr>
        <w:t xml:space="preserve">superficie del territorio que reúna los requisitos establecidos en la legislación urbanística aplicable para ser clasificada como suelo urbano o urbanizado y siempre que se encuentre ya integrada, de manera legal y efectiva, en la red de dotaciones y servicios propios de los núcleos de población. Se entenderá que así ocurre cuando las parcelas, estando o no edificadas, cuenten con las dotaciones y los servicios requeridos por la legislación urbanística o puedan llegar a contar con ellos sin otras obras que las de conexión a las instalaciones en funcionamiento. </w:t>
      </w:r>
    </w:p>
    <w:p w14:paraId="347AE163" w14:textId="32AE049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Área urbanizada existente: </w:t>
      </w:r>
      <w:r w:rsidRPr="00D33B48">
        <w:rPr>
          <w:rFonts w:ascii="Times New Roman" w:hAnsi="Times New Roman" w:cs="Times New Roman"/>
          <w:color w:val="000000"/>
          <w:sz w:val="24"/>
          <w:szCs w:val="24"/>
        </w:rPr>
        <w:t xml:space="preserve">la superficie del territorio que sea área urbanizada antes de la entrada en vigor del Real Decreto 1367/2007, de 19 de octubre, por el que se desarrolla la Ley 37/2003, de 17 de noviembre, del Ruido, en lo referente a zonificación acústica, objetivos de calidad y emisiones acústicas (Fecha de entrada en vigor del RD 1367/2007: 24 de octubre de 2007). </w:t>
      </w:r>
    </w:p>
    <w:p w14:paraId="69255D5E"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Bancada flotante</w:t>
      </w:r>
      <w:r w:rsidRPr="00D33B48">
        <w:rPr>
          <w:rFonts w:ascii="Times New Roman" w:hAnsi="Times New Roman" w:cs="Times New Roman"/>
          <w:color w:val="000000"/>
          <w:sz w:val="24"/>
          <w:szCs w:val="24"/>
        </w:rPr>
        <w:t xml:space="preserve">: elemento sólido dotado de amortiguadores adecuados para no transmitir energía acústica vía estructural a los elementos constructivos de la edificación. En actividades que deban cumplir el aislamiento acústico a ruido de impacto, estas bancadas reunirán los requisitos necesarios para que pueda llevarse a cabo el ensayo de la máquina de impactos. </w:t>
      </w:r>
    </w:p>
    <w:p w14:paraId="597BC726"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Cabina acústica: </w:t>
      </w:r>
      <w:r w:rsidRPr="00D33B48">
        <w:rPr>
          <w:rFonts w:ascii="Times New Roman" w:hAnsi="Times New Roman" w:cs="Times New Roman"/>
          <w:color w:val="000000"/>
          <w:sz w:val="24"/>
          <w:szCs w:val="24"/>
        </w:rPr>
        <w:t xml:space="preserve">recinto cerrado de dimensiones limitadas, acústicamente aislado, cuyos elementos constructivos horizontales y verticales, incluido o sin incluir el forjado de suelo, son distintos o independientes de los elementos constructivos de la actividad principal. La cabina acústica tiene como objeto aislar del resto de la actividad una operación, foco, etc., que genera un nivel sonoro excesivo. El fin de la cabina es permitir el cumplimiento de los límites de inmisión de ruido y vibraciones establecidos en la Ordenanza. </w:t>
      </w:r>
    </w:p>
    <w:p w14:paraId="7C93DB23"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Cerramiento acústico parcial: </w:t>
      </w:r>
      <w:r w:rsidRPr="00D33B48">
        <w:rPr>
          <w:rFonts w:ascii="Times New Roman" w:hAnsi="Times New Roman" w:cs="Times New Roman"/>
          <w:color w:val="000000"/>
          <w:sz w:val="24"/>
          <w:szCs w:val="24"/>
        </w:rPr>
        <w:t xml:space="preserve">encapsulamiento acústico al que le falta algún cerramiento. </w:t>
      </w:r>
    </w:p>
    <w:p w14:paraId="4F4AC1DA"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Cerramiento acústico total: </w:t>
      </w:r>
      <w:r w:rsidRPr="00D33B48">
        <w:rPr>
          <w:rFonts w:ascii="Times New Roman" w:hAnsi="Times New Roman" w:cs="Times New Roman"/>
          <w:color w:val="000000"/>
          <w:sz w:val="24"/>
          <w:szCs w:val="24"/>
        </w:rPr>
        <w:t xml:space="preserve">véase “encapsulamiento acústico”. </w:t>
      </w:r>
    </w:p>
    <w:p w14:paraId="01FBB705"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Certificado de comprobación acústica preventiva: </w:t>
      </w:r>
      <w:r w:rsidRPr="00D33B48">
        <w:rPr>
          <w:rFonts w:ascii="Times New Roman" w:hAnsi="Times New Roman" w:cs="Times New Roman"/>
          <w:color w:val="000000"/>
          <w:sz w:val="24"/>
          <w:szCs w:val="24"/>
        </w:rPr>
        <w:t xml:space="preserve">certificado que acompaña al informe de comprobación acústica preventiva presentado por el titular de una actividad, ante el órgano municipal competente, con objeto de verificar el cumplimiento de los límites acústicos establecidos en la Ordenanza. Este certificado y el informe correspondiente deben ser suscritos por personal técnico competente y presentados obligatoriamente en los casos previstos en la </w:t>
      </w:r>
      <w:r w:rsidRPr="00D33B48">
        <w:rPr>
          <w:rFonts w:ascii="Times New Roman" w:hAnsi="Times New Roman" w:cs="Times New Roman"/>
          <w:color w:val="000000"/>
          <w:sz w:val="24"/>
          <w:szCs w:val="24"/>
        </w:rPr>
        <w:lastRenderedPageBreak/>
        <w:t xml:space="preserve">Ordenanza, sin perjuicio de presentación voluntaria cuando el titular de la actividad lo desee. </w:t>
      </w:r>
    </w:p>
    <w:p w14:paraId="30A8E0BB"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Certificado final de cumplimiento de las normas de calidad y prevención acústica: </w:t>
      </w:r>
      <w:r w:rsidRPr="00D33B48">
        <w:rPr>
          <w:rFonts w:ascii="Times New Roman" w:hAnsi="Times New Roman" w:cs="Times New Roman"/>
          <w:color w:val="000000"/>
          <w:sz w:val="24"/>
          <w:szCs w:val="24"/>
        </w:rPr>
        <w:t xml:space="preserve">documento suscrito por personal técnico competente que debe ser presentado, ante el órgano municipal competente, por el titular de una actividad para justificar el cumplimiento de la Ordenanza tras comprobar dicho técnico a la conclusión de las instalaciones que la actividad se adecua al estudio acústico, normas relacionadas en el mismo, prescripciones de la Ordenanza y, en su caso, a las condiciones acústicas impuestas por los técnicos municipales. </w:t>
      </w:r>
    </w:p>
    <w:p w14:paraId="59C23C54"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Coeficiente de reducción del ruido (NRC): </w:t>
      </w:r>
      <w:r w:rsidRPr="00D33B48">
        <w:rPr>
          <w:rFonts w:ascii="Times New Roman" w:hAnsi="Times New Roman" w:cs="Times New Roman"/>
          <w:color w:val="000000"/>
          <w:sz w:val="24"/>
          <w:szCs w:val="24"/>
        </w:rPr>
        <w:t xml:space="preserve">media aritmética de los coeficientes de absorción del sonido a 250, 500, 1.000 y 2.000 Hz, redondeado hasta el múltiplo más próximo a 0,05. Se utiliza para valorar con un número único el coeficiente de absorción de un material dado en bandas de octava. </w:t>
      </w:r>
    </w:p>
    <w:p w14:paraId="0B913D8F"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Contaminación acústica: </w:t>
      </w:r>
      <w:r w:rsidRPr="00D33B48">
        <w:rPr>
          <w:rFonts w:ascii="Times New Roman" w:hAnsi="Times New Roman" w:cs="Times New Roman"/>
          <w:color w:val="000000"/>
          <w:sz w:val="24"/>
          <w:szCs w:val="24"/>
        </w:rPr>
        <w:t xml:space="preserve">presencia en el ambiente de ruidos o vibraciones, cualquiera que sea el emisor acústico que los origine, que impliquen molestia, riesgo o daño para las personas, para el desarrollo de sus actividades o para los bienes de cualquier naturaleza o que causen efectos significativos sobre el medio ambiente. </w:t>
      </w:r>
    </w:p>
    <w:p w14:paraId="3EF0849F" w14:textId="04997C2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color w:val="000000"/>
          <w:sz w:val="24"/>
          <w:szCs w:val="24"/>
        </w:rPr>
        <w:t xml:space="preserve">- </w:t>
      </w:r>
      <w:r w:rsidRPr="00D33B48">
        <w:rPr>
          <w:rFonts w:ascii="Times New Roman" w:hAnsi="Times New Roman" w:cs="Times New Roman"/>
          <w:b/>
          <w:color w:val="000000"/>
          <w:sz w:val="24"/>
          <w:szCs w:val="24"/>
        </w:rPr>
        <w:t xml:space="preserve">Contaminación acústica difusa: </w:t>
      </w:r>
      <w:r w:rsidRPr="00D33B48">
        <w:rPr>
          <w:rFonts w:ascii="Times New Roman" w:hAnsi="Times New Roman" w:cs="Times New Roman"/>
          <w:color w:val="000000"/>
          <w:sz w:val="24"/>
          <w:szCs w:val="24"/>
        </w:rPr>
        <w:t xml:space="preserve">la generada directa o indirectamente por la confluencia o acumulación de actividades o emisores acústicos en una zona determinada cuando, superándose los objetivos de calidad acústica establecidos en la Ordenanza no pueda identificarse claramente en qué grado contribuye cada actividad o emisor acústico sobre el total de la contaminación producida. De la contaminación acústica difusa no puede hacerse responsable a ninguna actividad o emisor acústico en concreto, debiéndose analizar y solucionar el problema en su conjunto. </w:t>
      </w:r>
    </w:p>
    <w:p w14:paraId="2C1CA7E5"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Contaminación acústica por confluencia de personas en espacios comunes privados al aire libre</w:t>
      </w:r>
      <w:r w:rsidRPr="00D33B48">
        <w:rPr>
          <w:rFonts w:ascii="Times New Roman" w:hAnsi="Times New Roman" w:cs="Times New Roman"/>
          <w:color w:val="000000"/>
          <w:sz w:val="24"/>
          <w:szCs w:val="24"/>
        </w:rPr>
        <w:t xml:space="preserve">: la originada en forma espontánea u organizada por personas cuando se reúnan o concentren en espacios al aire libre privados. Cuando estos espacios pertenezcan a establecimientos de actividades, la contaminación acústica producida será imputable a la actividad teniendo carácter de contaminación acústica por efectos directos de la misma. </w:t>
      </w:r>
    </w:p>
    <w:p w14:paraId="6261D7C1"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Contaminación acústica por confluencia de personas en la vía pública</w:t>
      </w:r>
      <w:r w:rsidRPr="00D33B48">
        <w:rPr>
          <w:rFonts w:ascii="Times New Roman" w:hAnsi="Times New Roman" w:cs="Times New Roman"/>
          <w:color w:val="000000"/>
          <w:sz w:val="24"/>
          <w:szCs w:val="24"/>
        </w:rPr>
        <w:t xml:space="preserve">: la originada de forma espontánea u organizada por personas cuando se reúnan o concentren en la vía pública por cualquier motivo. A título de ejemplo, las familiarmente denominadas </w:t>
      </w:r>
      <w:proofErr w:type="spellStart"/>
      <w:r w:rsidRPr="00D33B48">
        <w:rPr>
          <w:rFonts w:ascii="Times New Roman" w:hAnsi="Times New Roman" w:cs="Times New Roman"/>
          <w:color w:val="000000"/>
          <w:sz w:val="24"/>
          <w:szCs w:val="24"/>
        </w:rPr>
        <w:t>botellonas</w:t>
      </w:r>
      <w:proofErr w:type="spellEnd"/>
      <w:r w:rsidRPr="00D33B48">
        <w:rPr>
          <w:rFonts w:ascii="Times New Roman" w:hAnsi="Times New Roman" w:cs="Times New Roman"/>
          <w:color w:val="000000"/>
          <w:sz w:val="24"/>
          <w:szCs w:val="24"/>
        </w:rPr>
        <w:t xml:space="preserve">, las fiestas universitarias de inicio o de fin de curso, etc., tienen esta consideración. Este tipo de contaminación no puede atribuirse a ninguna actividad comercial en concreto por tanto no puede imputarse como contaminación acústica por efectos indirectos de dicha actividad, excepto cuando se den las circunstancias indicadas en la definición de contaminación acústica por efectos indirectos. De la contaminación acústica por confluencia de personas en la vía pública serán responsables las personas que la generen. </w:t>
      </w:r>
    </w:p>
    <w:p w14:paraId="5E9EDF9A"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color w:val="000000"/>
          <w:sz w:val="24"/>
          <w:szCs w:val="24"/>
        </w:rPr>
        <w:t xml:space="preserve">- </w:t>
      </w:r>
      <w:r w:rsidRPr="00D33B48">
        <w:rPr>
          <w:rFonts w:ascii="Times New Roman" w:hAnsi="Times New Roman" w:cs="Times New Roman"/>
          <w:b/>
          <w:color w:val="000000"/>
          <w:sz w:val="24"/>
          <w:szCs w:val="24"/>
        </w:rPr>
        <w:t xml:space="preserve">Contaminación acústica por efectos aditivos: </w:t>
      </w:r>
      <w:r w:rsidRPr="00D33B48">
        <w:rPr>
          <w:rFonts w:ascii="Times New Roman" w:hAnsi="Times New Roman" w:cs="Times New Roman"/>
          <w:color w:val="000000"/>
          <w:sz w:val="24"/>
          <w:szCs w:val="24"/>
        </w:rPr>
        <w:t xml:space="preserve">se produce contaminación acústica por efectos aditivos, derivados directa o indirectamente del desarrollo de una actividad o instalación en concreto, cuando su funcionamiento hace superar los objetivos de calidad acústica de ruido establecidos en la Ordenanza. La contaminación acústica por efectos aditivos podrá ser comprobada a posteriori con la actividad en funcionamiento cuando pueda atribuirse a dicha actividad y no a ninguna otra. </w:t>
      </w:r>
    </w:p>
    <w:p w14:paraId="0FF504A5"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lastRenderedPageBreak/>
        <w:t xml:space="preserve">- Contaminación acústica por efectos directos: </w:t>
      </w:r>
      <w:r w:rsidRPr="00D33B48">
        <w:rPr>
          <w:rFonts w:ascii="Times New Roman" w:hAnsi="Times New Roman" w:cs="Times New Roman"/>
          <w:color w:val="000000"/>
          <w:sz w:val="24"/>
          <w:szCs w:val="24"/>
        </w:rPr>
        <w:t xml:space="preserve">la generada por una actividad en el interior del establecimiento o en sus instalaciones legalizadas del exterior. Sin perjuicio de las excepciones hechas por la Ordenanza en determinadas actividades, la contaminación acústica por efectos directos deberá evaluarse en fase de proyecto, sin perjuicio de evaluación con la actividad en funcionamiento. En cualquier caso, en todo proyecto de legalización de una actividad se indicarán las medidas a adoptar para prevenir dicha contaminación, medidas que deberán ser asumidas y suscritas por el titular de la actividad. </w:t>
      </w:r>
    </w:p>
    <w:p w14:paraId="45BFDE6C"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color w:val="000000"/>
          <w:sz w:val="24"/>
          <w:szCs w:val="24"/>
        </w:rPr>
        <w:t xml:space="preserve">A título de ejemplo tendría consideración de contaminación acústica por efectos directos: </w:t>
      </w:r>
    </w:p>
    <w:p w14:paraId="6CC49CB7" w14:textId="24553A7D" w:rsidR="00D33B48" w:rsidRPr="00D33B48" w:rsidRDefault="00D33B48" w:rsidP="00A6297C">
      <w:pPr>
        <w:pStyle w:val="Estilo1"/>
        <w:numPr>
          <w:ilvl w:val="0"/>
          <w:numId w:val="24"/>
        </w:numPr>
        <w:spacing w:before="200" w:after="200"/>
        <w:rPr>
          <w:rFonts w:ascii="Times New Roman" w:hAnsi="Times New Roman" w:cs="Times New Roman"/>
          <w:color w:val="000000"/>
          <w:sz w:val="24"/>
          <w:szCs w:val="24"/>
        </w:rPr>
      </w:pPr>
      <w:r w:rsidRPr="00D33B48">
        <w:rPr>
          <w:rFonts w:ascii="Times New Roman" w:hAnsi="Times New Roman" w:cs="Times New Roman"/>
          <w:color w:val="000000"/>
          <w:sz w:val="24"/>
          <w:szCs w:val="24"/>
        </w:rPr>
        <w:t xml:space="preserve">el ruido generado por la unidad condensadora de aire acondicionado instalada en el exterior de una actividad. </w:t>
      </w:r>
    </w:p>
    <w:p w14:paraId="4DBCFD42" w14:textId="0ED88D61" w:rsidR="00D33B48" w:rsidRPr="00D33B48" w:rsidRDefault="00D33B48" w:rsidP="00A6297C">
      <w:pPr>
        <w:pStyle w:val="Estilo1"/>
        <w:numPr>
          <w:ilvl w:val="0"/>
          <w:numId w:val="24"/>
        </w:numPr>
        <w:spacing w:before="200" w:after="200"/>
        <w:rPr>
          <w:rFonts w:ascii="Times New Roman" w:hAnsi="Times New Roman" w:cs="Times New Roman"/>
          <w:color w:val="000000"/>
          <w:sz w:val="24"/>
          <w:szCs w:val="24"/>
        </w:rPr>
      </w:pPr>
      <w:r w:rsidRPr="00D33B48">
        <w:rPr>
          <w:rFonts w:ascii="Times New Roman" w:hAnsi="Times New Roman" w:cs="Times New Roman"/>
          <w:color w:val="000000"/>
          <w:sz w:val="24"/>
          <w:szCs w:val="24"/>
        </w:rPr>
        <w:t xml:space="preserve">el ruido generado por vehículos a motor o ciclomotores en el interior de un aparcamiento privado al aire libre perteneciente a una actividad. </w:t>
      </w:r>
    </w:p>
    <w:p w14:paraId="664CB2A7" w14:textId="24B48933" w:rsidR="00D33B48" w:rsidRPr="00D33B48" w:rsidRDefault="00D33B48" w:rsidP="00A6297C">
      <w:pPr>
        <w:pStyle w:val="Estilo1"/>
        <w:numPr>
          <w:ilvl w:val="0"/>
          <w:numId w:val="24"/>
        </w:numPr>
        <w:spacing w:before="200" w:after="200"/>
        <w:rPr>
          <w:rFonts w:ascii="Times New Roman" w:hAnsi="Times New Roman" w:cs="Times New Roman"/>
          <w:color w:val="000000"/>
          <w:sz w:val="24"/>
          <w:szCs w:val="24"/>
        </w:rPr>
      </w:pPr>
      <w:r w:rsidRPr="00D33B48">
        <w:rPr>
          <w:rFonts w:ascii="Times New Roman" w:hAnsi="Times New Roman" w:cs="Times New Roman"/>
          <w:color w:val="000000"/>
          <w:sz w:val="24"/>
          <w:szCs w:val="24"/>
        </w:rPr>
        <w:t xml:space="preserve">el ruido generado por la clientela de una actividad en los veladores autorizados de la misma por tratarse de un espacio en la vía pública vinculado a la actividad y sujeto a autorización municipal. </w:t>
      </w:r>
    </w:p>
    <w:p w14:paraId="0B5C45B9"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Contaminación acústica por efectos indirectos: </w:t>
      </w:r>
      <w:r w:rsidRPr="00D33B48">
        <w:rPr>
          <w:rFonts w:ascii="Times New Roman" w:hAnsi="Times New Roman" w:cs="Times New Roman"/>
          <w:color w:val="000000"/>
          <w:sz w:val="24"/>
          <w:szCs w:val="24"/>
        </w:rPr>
        <w:t xml:space="preserve">la generada fuera de la actividad o fuera de sus instalaciones legalizadas del exterior, por emisores acústicos o por personas, por causas imputables a dicha actividad. De la contaminación acústica por efectos indirectos será siempre responsable el titular de la actividad por contribución o cooperación necesaria. La contaminación acústica por efectos indirectos solo podrá evaluarse con la actividad en funcionamiento, no obstante, en todo proyecto de legalización de una actividad se indicarán las medidas a adoptar para prevenirla, medidas que deberán ser asumidas y suscritas por el titular de la actividad. A título de ejemplo, tendrá consideración de contaminación acústica por efectos indirectos: </w:t>
      </w:r>
    </w:p>
    <w:p w14:paraId="6DEB82A0" w14:textId="402C8E4F" w:rsidR="00D33B48" w:rsidRPr="00D33B48" w:rsidRDefault="00D33B48" w:rsidP="00A6297C">
      <w:pPr>
        <w:pStyle w:val="Estilo1"/>
        <w:numPr>
          <w:ilvl w:val="0"/>
          <w:numId w:val="21"/>
        </w:numPr>
        <w:spacing w:before="200" w:after="200"/>
        <w:rPr>
          <w:rFonts w:ascii="Times New Roman" w:hAnsi="Times New Roman" w:cs="Times New Roman"/>
          <w:color w:val="000000"/>
          <w:sz w:val="24"/>
          <w:szCs w:val="24"/>
        </w:rPr>
      </w:pPr>
      <w:r w:rsidRPr="00D33B48">
        <w:rPr>
          <w:rFonts w:ascii="Times New Roman" w:hAnsi="Times New Roman" w:cs="Times New Roman"/>
          <w:color w:val="000000"/>
          <w:sz w:val="24"/>
          <w:szCs w:val="24"/>
        </w:rPr>
        <w:t xml:space="preserve">el ruido generado por una actividad que realice operaciones de carga y descarga de mercancías en la vía pública incumpliendo las prescripciones de la Ordenanza. </w:t>
      </w:r>
    </w:p>
    <w:p w14:paraId="7EFF2BB5" w14:textId="1B52E20A" w:rsidR="00D33B48" w:rsidRPr="00D33B48" w:rsidRDefault="00D33B48" w:rsidP="00A6297C">
      <w:pPr>
        <w:pStyle w:val="Estilo1"/>
        <w:numPr>
          <w:ilvl w:val="0"/>
          <w:numId w:val="21"/>
        </w:numPr>
        <w:spacing w:before="200" w:after="200"/>
        <w:rPr>
          <w:rFonts w:ascii="Times New Roman" w:hAnsi="Times New Roman" w:cs="Times New Roman"/>
          <w:color w:val="000000"/>
          <w:sz w:val="24"/>
          <w:szCs w:val="24"/>
        </w:rPr>
      </w:pPr>
      <w:r w:rsidRPr="00D33B48">
        <w:rPr>
          <w:rFonts w:ascii="Times New Roman" w:hAnsi="Times New Roman" w:cs="Times New Roman"/>
          <w:color w:val="000000"/>
          <w:sz w:val="24"/>
          <w:szCs w:val="24"/>
        </w:rPr>
        <w:t xml:space="preserve">el ruido generado por la clientela de una actividad en zonas de la vía pública sin permiso de veladores, por ejemplo, el de las conversaciones que se mantienen en dichas zonas mientras se realiza el consumo de artículos de la actividad. </w:t>
      </w:r>
    </w:p>
    <w:p w14:paraId="1E3CBB10" w14:textId="55B653ED" w:rsidR="00D33B48" w:rsidRPr="00D33B48" w:rsidRDefault="00D33B48" w:rsidP="00A6297C">
      <w:pPr>
        <w:pStyle w:val="Estilo1"/>
        <w:numPr>
          <w:ilvl w:val="0"/>
          <w:numId w:val="21"/>
        </w:numPr>
        <w:spacing w:before="200" w:after="200"/>
        <w:rPr>
          <w:rFonts w:ascii="Times New Roman" w:hAnsi="Times New Roman" w:cs="Times New Roman"/>
          <w:color w:val="000000"/>
          <w:sz w:val="24"/>
          <w:szCs w:val="24"/>
        </w:rPr>
      </w:pPr>
      <w:r w:rsidRPr="00D33B48">
        <w:rPr>
          <w:rFonts w:ascii="Times New Roman" w:hAnsi="Times New Roman" w:cs="Times New Roman"/>
          <w:color w:val="000000"/>
          <w:sz w:val="24"/>
          <w:szCs w:val="24"/>
        </w:rPr>
        <w:t xml:space="preserve">el ruido generado en la vía pública por la clientela de una actividad, en mobiliario no legalizado de la misma. </w:t>
      </w:r>
    </w:p>
    <w:p w14:paraId="1AE1157A" w14:textId="4EBE9113" w:rsidR="00D33B48" w:rsidRPr="00D33B48" w:rsidRDefault="00D33B48" w:rsidP="00A6297C">
      <w:pPr>
        <w:pStyle w:val="Estilo1"/>
        <w:numPr>
          <w:ilvl w:val="0"/>
          <w:numId w:val="21"/>
        </w:numPr>
        <w:spacing w:before="200" w:after="200"/>
        <w:rPr>
          <w:rFonts w:ascii="Times New Roman" w:hAnsi="Times New Roman" w:cs="Times New Roman"/>
          <w:color w:val="000000"/>
          <w:sz w:val="24"/>
          <w:szCs w:val="24"/>
        </w:rPr>
      </w:pPr>
      <w:r w:rsidRPr="00D33B48">
        <w:rPr>
          <w:rFonts w:ascii="Times New Roman" w:hAnsi="Times New Roman" w:cs="Times New Roman"/>
          <w:color w:val="000000"/>
          <w:sz w:val="24"/>
          <w:szCs w:val="24"/>
        </w:rPr>
        <w:t xml:space="preserve">el ruido generado en la vía pública por la clientela de una actividad al acceder o salir de ésta, o el que dicha clientela genere por cualquier motivo cuando permanezca en las inmediaciones de dicha actividad, por ejemplo, manteniendo conversaciones mientras espera para adquirir una localidad o mientras hace tiempo para acceder a la misma. </w:t>
      </w:r>
    </w:p>
    <w:p w14:paraId="4801B9CB" w14:textId="7FD067E8" w:rsidR="00D33B48" w:rsidRPr="00D33B48" w:rsidRDefault="00D33B48" w:rsidP="00A6297C">
      <w:pPr>
        <w:pStyle w:val="Estilo1"/>
        <w:numPr>
          <w:ilvl w:val="0"/>
          <w:numId w:val="21"/>
        </w:numPr>
        <w:spacing w:before="200" w:after="200"/>
        <w:rPr>
          <w:rFonts w:ascii="Times New Roman" w:hAnsi="Times New Roman" w:cs="Times New Roman"/>
          <w:color w:val="000000"/>
          <w:sz w:val="24"/>
          <w:szCs w:val="24"/>
        </w:rPr>
      </w:pPr>
      <w:r w:rsidRPr="00D33B48">
        <w:rPr>
          <w:rFonts w:ascii="Times New Roman" w:hAnsi="Times New Roman" w:cs="Times New Roman"/>
          <w:color w:val="000000"/>
          <w:sz w:val="24"/>
          <w:szCs w:val="24"/>
        </w:rPr>
        <w:t xml:space="preserve">el ruido generado en la vía pública por los vehículos a motor o ciclomotores de la clientela que accede o abandona la actividad por considerarse tráfico inducido. Este problema es especialmente significativo en calles estrechas o con dificultad de maniobra. </w:t>
      </w:r>
    </w:p>
    <w:p w14:paraId="3C8158BC"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lastRenderedPageBreak/>
        <w:t xml:space="preserve">- Contaminador acústico: </w:t>
      </w:r>
      <w:r w:rsidRPr="00D33B48">
        <w:rPr>
          <w:rFonts w:ascii="Times New Roman" w:hAnsi="Times New Roman" w:cs="Times New Roman"/>
          <w:color w:val="000000"/>
          <w:sz w:val="24"/>
          <w:szCs w:val="24"/>
        </w:rPr>
        <w:t xml:space="preserve">véase “emisor acústico”. </w:t>
      </w:r>
    </w:p>
    <w:p w14:paraId="4935EA0E"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Contribuidor o cooperador necesario de la contaminación acústica por efectos indirectos: </w:t>
      </w:r>
      <w:r w:rsidRPr="00D33B48">
        <w:rPr>
          <w:rFonts w:ascii="Times New Roman" w:hAnsi="Times New Roman" w:cs="Times New Roman"/>
          <w:color w:val="000000"/>
          <w:sz w:val="24"/>
          <w:szCs w:val="24"/>
        </w:rPr>
        <w:t xml:space="preserve">todo titular de una actividad generadora de dicha contaminación. A título de ejemplo, tendrá la consideración de contribuidor o colaborador necesario: </w:t>
      </w:r>
    </w:p>
    <w:p w14:paraId="3460F90C" w14:textId="34BF4103" w:rsidR="00D33B48" w:rsidRPr="00D33B48" w:rsidRDefault="00D33B48" w:rsidP="00A6297C">
      <w:pPr>
        <w:pStyle w:val="Estilo1"/>
        <w:numPr>
          <w:ilvl w:val="0"/>
          <w:numId w:val="18"/>
        </w:numPr>
        <w:spacing w:before="200" w:after="200"/>
        <w:rPr>
          <w:rFonts w:ascii="Times New Roman" w:hAnsi="Times New Roman" w:cs="Times New Roman"/>
          <w:color w:val="000000"/>
          <w:sz w:val="24"/>
          <w:szCs w:val="24"/>
        </w:rPr>
      </w:pPr>
      <w:r w:rsidRPr="00D33B48">
        <w:rPr>
          <w:rFonts w:ascii="Times New Roman" w:hAnsi="Times New Roman" w:cs="Times New Roman"/>
          <w:color w:val="000000"/>
          <w:sz w:val="24"/>
          <w:szCs w:val="24"/>
        </w:rPr>
        <w:t xml:space="preserve">todo titular de una actividad sin permiso de veladores que permita sacar artículos fuera del establecimiento para su consumo en las inmediaciones </w:t>
      </w:r>
      <w:proofErr w:type="gramStart"/>
      <w:r w:rsidRPr="00D33B48">
        <w:rPr>
          <w:rFonts w:ascii="Times New Roman" w:hAnsi="Times New Roman" w:cs="Times New Roman"/>
          <w:color w:val="000000"/>
          <w:sz w:val="24"/>
          <w:szCs w:val="24"/>
        </w:rPr>
        <w:t>del mismo</w:t>
      </w:r>
      <w:proofErr w:type="gramEnd"/>
      <w:r w:rsidRPr="00D33B48">
        <w:rPr>
          <w:rFonts w:ascii="Times New Roman" w:hAnsi="Times New Roman" w:cs="Times New Roman"/>
          <w:color w:val="000000"/>
          <w:sz w:val="24"/>
          <w:szCs w:val="24"/>
        </w:rPr>
        <w:t xml:space="preserve">, cuando por dicho motivo se produzca contaminación acústica. </w:t>
      </w:r>
    </w:p>
    <w:p w14:paraId="073F12A9" w14:textId="1ED431C3" w:rsidR="00D33B48" w:rsidRPr="00D33B48" w:rsidRDefault="00D33B48" w:rsidP="00A6297C">
      <w:pPr>
        <w:pStyle w:val="Estilo1"/>
        <w:numPr>
          <w:ilvl w:val="0"/>
          <w:numId w:val="18"/>
        </w:numPr>
        <w:spacing w:before="200" w:after="200"/>
        <w:rPr>
          <w:rFonts w:ascii="Times New Roman" w:hAnsi="Times New Roman" w:cs="Times New Roman"/>
          <w:color w:val="000000"/>
          <w:sz w:val="24"/>
          <w:szCs w:val="24"/>
        </w:rPr>
      </w:pPr>
      <w:r w:rsidRPr="00D33B48">
        <w:rPr>
          <w:rFonts w:ascii="Times New Roman" w:hAnsi="Times New Roman" w:cs="Times New Roman"/>
          <w:color w:val="000000"/>
          <w:sz w:val="24"/>
          <w:szCs w:val="24"/>
        </w:rPr>
        <w:t xml:space="preserve">todo titular de una actividad que realice operaciones de carga y descarga de mercancías incumpliendo las prescripciones de la Ordenanza. </w:t>
      </w:r>
    </w:p>
    <w:p w14:paraId="19BB93F2" w14:textId="4D85C2E8" w:rsidR="00D33B48" w:rsidRPr="00D33B48" w:rsidRDefault="00D33B48" w:rsidP="00A6297C">
      <w:pPr>
        <w:pStyle w:val="Estilo1"/>
        <w:numPr>
          <w:ilvl w:val="0"/>
          <w:numId w:val="18"/>
        </w:numPr>
        <w:spacing w:before="200" w:after="200"/>
        <w:rPr>
          <w:rFonts w:ascii="Times New Roman" w:hAnsi="Times New Roman" w:cs="Times New Roman"/>
          <w:color w:val="000000"/>
          <w:sz w:val="24"/>
          <w:szCs w:val="24"/>
        </w:rPr>
      </w:pPr>
      <w:r w:rsidRPr="00D33B48">
        <w:rPr>
          <w:rFonts w:ascii="Times New Roman" w:hAnsi="Times New Roman" w:cs="Times New Roman"/>
          <w:color w:val="000000"/>
          <w:sz w:val="24"/>
          <w:szCs w:val="24"/>
        </w:rPr>
        <w:t xml:space="preserve">todo titular de una actividad que instale mobiliario no legalizado en zonas del exterior del establecimiento, cuando por dicho motivo se produzca contaminación acústica. </w:t>
      </w:r>
    </w:p>
    <w:p w14:paraId="4C276761" w14:textId="1F93198C" w:rsidR="00D33B48" w:rsidRPr="00D33B48" w:rsidRDefault="00D33B48" w:rsidP="00A6297C">
      <w:pPr>
        <w:pStyle w:val="Estilo1"/>
        <w:numPr>
          <w:ilvl w:val="0"/>
          <w:numId w:val="18"/>
        </w:numPr>
        <w:spacing w:before="200" w:after="200"/>
        <w:rPr>
          <w:rFonts w:ascii="Times New Roman" w:hAnsi="Times New Roman" w:cs="Times New Roman"/>
          <w:color w:val="000000"/>
          <w:sz w:val="24"/>
          <w:szCs w:val="24"/>
        </w:rPr>
      </w:pPr>
      <w:r w:rsidRPr="00D33B48">
        <w:rPr>
          <w:rFonts w:ascii="Times New Roman" w:hAnsi="Times New Roman" w:cs="Times New Roman"/>
          <w:color w:val="000000"/>
          <w:sz w:val="24"/>
          <w:szCs w:val="24"/>
        </w:rPr>
        <w:t xml:space="preserve">todo titular de una actividad cuando la acumulación de clientes en sus inmediaciones produzca contaminación acústica, o cuando éstos accedan o abandonen la misma por sí solos o mediante algún vehículo. </w:t>
      </w:r>
    </w:p>
    <w:p w14:paraId="1CE1CBE3" w14:textId="387294C8"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Denuncia: </w:t>
      </w:r>
      <w:r w:rsidRPr="00D33B48">
        <w:rPr>
          <w:rFonts w:ascii="Times New Roman" w:hAnsi="Times New Roman" w:cs="Times New Roman"/>
          <w:color w:val="000000"/>
          <w:sz w:val="24"/>
          <w:szCs w:val="24"/>
        </w:rPr>
        <w:t xml:space="preserve">acto por el que se pone en conocimiento de la administración municipal la existencia de un determinado hecho que constituye, o que puede constituir, una infracción administrativa a lo establecido en la Ordenanza. </w:t>
      </w:r>
    </w:p>
    <w:p w14:paraId="1D578E9F"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color w:val="000000"/>
          <w:sz w:val="24"/>
          <w:szCs w:val="24"/>
        </w:rPr>
        <w:t xml:space="preserve">- </w:t>
      </w:r>
      <w:r w:rsidRPr="00D33B48">
        <w:rPr>
          <w:rFonts w:ascii="Times New Roman" w:hAnsi="Times New Roman" w:cs="Times New Roman"/>
          <w:b/>
          <w:color w:val="000000"/>
          <w:sz w:val="24"/>
          <w:szCs w:val="24"/>
        </w:rPr>
        <w:t xml:space="preserve">Efectos acumulativos: </w:t>
      </w:r>
      <w:r w:rsidRPr="00D33B48">
        <w:rPr>
          <w:rFonts w:ascii="Times New Roman" w:hAnsi="Times New Roman" w:cs="Times New Roman"/>
          <w:color w:val="000000"/>
          <w:sz w:val="24"/>
          <w:szCs w:val="24"/>
        </w:rPr>
        <w:t xml:space="preserve">véase “efectos aditivos” </w:t>
      </w:r>
    </w:p>
    <w:p w14:paraId="4307245B"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Efectos aditivos: </w:t>
      </w:r>
      <w:r w:rsidRPr="00D33B48">
        <w:rPr>
          <w:rFonts w:ascii="Times New Roman" w:hAnsi="Times New Roman" w:cs="Times New Roman"/>
          <w:color w:val="000000"/>
          <w:sz w:val="24"/>
          <w:szCs w:val="24"/>
        </w:rPr>
        <w:t xml:space="preserve">véase “contaminación acústica por efectos aditivos”. </w:t>
      </w:r>
    </w:p>
    <w:p w14:paraId="040A928D"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Efectos directos: </w:t>
      </w:r>
      <w:r w:rsidRPr="00D33B48">
        <w:rPr>
          <w:rFonts w:ascii="Times New Roman" w:hAnsi="Times New Roman" w:cs="Times New Roman"/>
          <w:color w:val="000000"/>
          <w:sz w:val="24"/>
          <w:szCs w:val="24"/>
        </w:rPr>
        <w:t xml:space="preserve">véase “contaminación acústica por efectos directos”. </w:t>
      </w:r>
    </w:p>
    <w:p w14:paraId="24A4D662"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Efectos indirectos: </w:t>
      </w:r>
      <w:r w:rsidRPr="00D33B48">
        <w:rPr>
          <w:rFonts w:ascii="Times New Roman" w:hAnsi="Times New Roman" w:cs="Times New Roman"/>
          <w:color w:val="000000"/>
          <w:sz w:val="24"/>
          <w:szCs w:val="24"/>
        </w:rPr>
        <w:t xml:space="preserve">véase “contaminación acústica por efectos indirectos”. </w:t>
      </w:r>
    </w:p>
    <w:p w14:paraId="62C1390D"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Elemento audiovisual: </w:t>
      </w:r>
      <w:r w:rsidRPr="00D33B48">
        <w:rPr>
          <w:rFonts w:ascii="Times New Roman" w:hAnsi="Times New Roman" w:cs="Times New Roman"/>
          <w:color w:val="000000"/>
          <w:sz w:val="24"/>
          <w:szCs w:val="24"/>
        </w:rPr>
        <w:t xml:space="preserve">instalación o aparato electrónico dotado de amplificación de sonido e imagen y altavoces. </w:t>
      </w:r>
    </w:p>
    <w:p w14:paraId="29B6A48E"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Elemento de imagen o video: </w:t>
      </w:r>
      <w:r w:rsidRPr="00D33B48">
        <w:rPr>
          <w:rFonts w:ascii="Times New Roman" w:hAnsi="Times New Roman" w:cs="Times New Roman"/>
          <w:color w:val="000000"/>
          <w:sz w:val="24"/>
          <w:szCs w:val="24"/>
        </w:rPr>
        <w:t xml:space="preserve">instalación o aparato electrónico que solo puede visionar imágenes, sin integrar amplificación de audio, altavoces ni tomas para su conexión. </w:t>
      </w:r>
    </w:p>
    <w:p w14:paraId="5ED3A696"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Emisor acústico: </w:t>
      </w:r>
      <w:r w:rsidRPr="00D33B48">
        <w:rPr>
          <w:rFonts w:ascii="Times New Roman" w:hAnsi="Times New Roman" w:cs="Times New Roman"/>
          <w:color w:val="000000"/>
          <w:sz w:val="24"/>
          <w:szCs w:val="24"/>
        </w:rPr>
        <w:t xml:space="preserve">cualquier actuación, construcción, edificación, actividad, instalación, elemento, medio, máquina, infraestructura, vehículo, aparato, unidad técnica, equipo, acto, celebración, comportamiento o acción susceptible de generar contaminación acústica, incluidas las personas. </w:t>
      </w:r>
    </w:p>
    <w:p w14:paraId="78AAC1DF"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Encapsulamiento: </w:t>
      </w:r>
      <w:r w:rsidRPr="00D33B48">
        <w:rPr>
          <w:rFonts w:ascii="Times New Roman" w:hAnsi="Times New Roman" w:cs="Times New Roman"/>
          <w:color w:val="000000"/>
          <w:sz w:val="24"/>
          <w:szCs w:val="24"/>
        </w:rPr>
        <w:t xml:space="preserve">cerramiento total e independiente de dimensiones reducidas y a medida de las dimensiones de una determinada máquina, que tiene por objeto aislarla acústicamente del resto de la actividad por generar aquella un nivel sonoro excesivo. El fin principal del encapsulamiento es permitir el cumplimiento de los límites de inmisión de ruido y vibraciones establecidos en la Ordenanza. </w:t>
      </w:r>
    </w:p>
    <w:p w14:paraId="49DC921B"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color w:val="000000"/>
          <w:sz w:val="24"/>
          <w:szCs w:val="24"/>
        </w:rPr>
        <w:t xml:space="preserve">- </w:t>
      </w:r>
      <w:r w:rsidRPr="00D33B48">
        <w:rPr>
          <w:rFonts w:ascii="Times New Roman" w:hAnsi="Times New Roman" w:cs="Times New Roman"/>
          <w:b/>
          <w:color w:val="000000"/>
          <w:sz w:val="24"/>
          <w:szCs w:val="24"/>
        </w:rPr>
        <w:t xml:space="preserve">Ensayo acústico: </w:t>
      </w:r>
      <w:r w:rsidRPr="00D33B48">
        <w:rPr>
          <w:rFonts w:ascii="Times New Roman" w:hAnsi="Times New Roman" w:cs="Times New Roman"/>
          <w:color w:val="000000"/>
          <w:sz w:val="24"/>
          <w:szCs w:val="24"/>
        </w:rPr>
        <w:t xml:space="preserve">técnica consistente en el empleo de una sistemática de mediciones acústicas basada en normas específicas, cuyo objetivo es obtener un índice de valoración. A efectos de la </w:t>
      </w:r>
      <w:r w:rsidRPr="00D33B48">
        <w:rPr>
          <w:rFonts w:ascii="Times New Roman" w:hAnsi="Times New Roman" w:cs="Times New Roman"/>
          <w:color w:val="000000"/>
          <w:sz w:val="24"/>
          <w:szCs w:val="24"/>
        </w:rPr>
        <w:lastRenderedPageBreak/>
        <w:t xml:space="preserve">Ordenanza, todo tipo de ensayo regulado en la misma, o de medición acústica conforme a norma para desarrollar un estudio acústico. </w:t>
      </w:r>
    </w:p>
    <w:p w14:paraId="2DDDE6A8"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Ensayo de comprobación acústica preventiva: </w:t>
      </w:r>
      <w:r w:rsidRPr="00D33B48">
        <w:rPr>
          <w:rFonts w:ascii="Times New Roman" w:hAnsi="Times New Roman" w:cs="Times New Roman"/>
          <w:color w:val="000000"/>
          <w:sz w:val="24"/>
          <w:szCs w:val="24"/>
        </w:rPr>
        <w:t xml:space="preserve">ensayo realizado por personal técnico competente, ajeno al Ayuntamiento, con objeto de comprobar la adecuación de una actividad o emisor acústico al cumplimiento de los límites acústicos establecidos en la Ordenanza. </w:t>
      </w:r>
    </w:p>
    <w:p w14:paraId="34E6947F"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Establecimiento abierto: </w:t>
      </w:r>
      <w:r w:rsidRPr="00D33B48">
        <w:rPr>
          <w:rFonts w:ascii="Times New Roman" w:hAnsi="Times New Roman" w:cs="Times New Roman"/>
          <w:color w:val="000000"/>
          <w:sz w:val="24"/>
          <w:szCs w:val="24"/>
        </w:rPr>
        <w:t xml:space="preserve">establecimiento no limitado totalmente por cerramientos y fachadas. Los establecimientos cerrados que carezcan de algún cerramiento o fachada se consideran establecimientos abiertos. </w:t>
      </w:r>
    </w:p>
    <w:p w14:paraId="0CDBA155"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color w:val="000000"/>
          <w:sz w:val="24"/>
          <w:szCs w:val="24"/>
        </w:rPr>
        <w:t xml:space="preserve">- </w:t>
      </w:r>
      <w:r w:rsidRPr="00D33B48">
        <w:rPr>
          <w:rFonts w:ascii="Times New Roman" w:hAnsi="Times New Roman" w:cs="Times New Roman"/>
          <w:b/>
          <w:color w:val="000000"/>
          <w:sz w:val="24"/>
          <w:szCs w:val="24"/>
        </w:rPr>
        <w:t xml:space="preserve">Establecimiento al aire libre: </w:t>
      </w:r>
      <w:r w:rsidRPr="00D33B48">
        <w:rPr>
          <w:rFonts w:ascii="Times New Roman" w:hAnsi="Times New Roman" w:cs="Times New Roman"/>
          <w:color w:val="000000"/>
          <w:sz w:val="24"/>
          <w:szCs w:val="24"/>
        </w:rPr>
        <w:t xml:space="preserve">véase “establecimiento abierto”. </w:t>
      </w:r>
    </w:p>
    <w:p w14:paraId="68B55CE9" w14:textId="58E731E9"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Establecimiento cerrado: </w:t>
      </w:r>
      <w:r w:rsidRPr="00D33B48">
        <w:rPr>
          <w:rFonts w:ascii="Times New Roman" w:hAnsi="Times New Roman" w:cs="Times New Roman"/>
          <w:color w:val="000000"/>
          <w:sz w:val="24"/>
          <w:szCs w:val="24"/>
        </w:rPr>
        <w:t xml:space="preserve">establecimiento limitado totalmente por fachadas y cerramientos constituidos de materiales y carpinterías con el aislamiento acústico exigido por la Ordenanza, teniendo en cuenta el tipo de actividad desarrollar en su interior y el límite de inmisión de ruido aplicable. Las carpas y establecimientos limitados total o parcialmente con lonas, toldos y materiales </w:t>
      </w:r>
      <w:proofErr w:type="gramStart"/>
      <w:r w:rsidRPr="00D33B48">
        <w:rPr>
          <w:rFonts w:ascii="Times New Roman" w:hAnsi="Times New Roman" w:cs="Times New Roman"/>
          <w:color w:val="000000"/>
          <w:sz w:val="24"/>
          <w:szCs w:val="24"/>
        </w:rPr>
        <w:t>similares,</w:t>
      </w:r>
      <w:proofErr w:type="gramEnd"/>
      <w:r w:rsidRPr="00D33B48">
        <w:rPr>
          <w:rFonts w:ascii="Times New Roman" w:hAnsi="Times New Roman" w:cs="Times New Roman"/>
          <w:color w:val="000000"/>
          <w:sz w:val="24"/>
          <w:szCs w:val="24"/>
        </w:rPr>
        <w:t xml:space="preserve"> se consideran, a efectos de la Ordenanza, establecimientos abiertos o al aire libre. Asimismo, los establecimientos sin cubierta o desprovistos total o parcialmente de cualquier fachada o cerramiento, se consideran establecimientos abiertos o al aire libre. </w:t>
      </w:r>
    </w:p>
    <w:p w14:paraId="10BA3CED"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Establecimiento parcialmente abierto: </w:t>
      </w:r>
      <w:r w:rsidRPr="00D33B48">
        <w:rPr>
          <w:rFonts w:ascii="Times New Roman" w:hAnsi="Times New Roman" w:cs="Times New Roman"/>
          <w:color w:val="000000"/>
          <w:sz w:val="24"/>
          <w:szCs w:val="24"/>
        </w:rPr>
        <w:t xml:space="preserve">véase “establecimiento abierto”. </w:t>
      </w:r>
    </w:p>
    <w:p w14:paraId="53C00140"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Establecimiento parcialmente cerrado: </w:t>
      </w:r>
      <w:r w:rsidRPr="00D33B48">
        <w:rPr>
          <w:rFonts w:ascii="Times New Roman" w:hAnsi="Times New Roman" w:cs="Times New Roman"/>
          <w:color w:val="000000"/>
          <w:sz w:val="24"/>
          <w:szCs w:val="24"/>
        </w:rPr>
        <w:t xml:space="preserve">véase “establecimiento abierto”. </w:t>
      </w:r>
    </w:p>
    <w:p w14:paraId="07FCD416"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color w:val="000000"/>
          <w:sz w:val="24"/>
          <w:szCs w:val="24"/>
        </w:rPr>
        <w:t xml:space="preserve">- </w:t>
      </w:r>
      <w:r w:rsidRPr="00D33B48">
        <w:rPr>
          <w:rFonts w:ascii="Times New Roman" w:hAnsi="Times New Roman" w:cs="Times New Roman"/>
          <w:b/>
          <w:color w:val="000000"/>
          <w:sz w:val="24"/>
          <w:szCs w:val="24"/>
        </w:rPr>
        <w:t xml:space="preserve">Estructura a flote: </w:t>
      </w:r>
      <w:r w:rsidRPr="00D33B48">
        <w:rPr>
          <w:rFonts w:ascii="Times New Roman" w:hAnsi="Times New Roman" w:cs="Times New Roman"/>
          <w:color w:val="000000"/>
          <w:sz w:val="24"/>
          <w:szCs w:val="24"/>
        </w:rPr>
        <w:t xml:space="preserve">cualquier estructura metálica, de madera, etc., concebida para no </w:t>
      </w:r>
      <w:proofErr w:type="gramStart"/>
      <w:r w:rsidRPr="00D33B48">
        <w:rPr>
          <w:rFonts w:ascii="Times New Roman" w:hAnsi="Times New Roman" w:cs="Times New Roman"/>
          <w:color w:val="000000"/>
          <w:sz w:val="24"/>
          <w:szCs w:val="24"/>
        </w:rPr>
        <w:t>navegar</w:t>
      </w:r>
      <w:proofErr w:type="gramEnd"/>
      <w:r w:rsidRPr="00D33B48">
        <w:rPr>
          <w:rFonts w:ascii="Times New Roman" w:hAnsi="Times New Roman" w:cs="Times New Roman"/>
          <w:color w:val="000000"/>
          <w:sz w:val="24"/>
          <w:szCs w:val="24"/>
        </w:rPr>
        <w:t xml:space="preserve"> pero sí para desarrollar sobre ella una determinada actividad. </w:t>
      </w:r>
    </w:p>
    <w:p w14:paraId="09610FAF"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Estudio acústico con ensayos: </w:t>
      </w:r>
      <w:r w:rsidRPr="00D33B48">
        <w:rPr>
          <w:rFonts w:ascii="Times New Roman" w:hAnsi="Times New Roman" w:cs="Times New Roman"/>
          <w:color w:val="000000"/>
          <w:sz w:val="24"/>
          <w:szCs w:val="24"/>
        </w:rPr>
        <w:t xml:space="preserve">conjunto de documentación técnica presentada ante el Ayuntamiento, acreditativa de la identificación y valoración del impacto ambiental en materia de ruido y vibraciones de un emisor acústico, que incluye mediciones reales in situ y valoraciones conforme a las exigencias de la Ordenanza. </w:t>
      </w:r>
    </w:p>
    <w:p w14:paraId="6BA36F2F" w14:textId="6EAFC26F" w:rsidR="00D33B48" w:rsidRPr="00D33B48" w:rsidRDefault="00D33B48" w:rsidP="00A6297C">
      <w:pPr>
        <w:pStyle w:val="Estilo1"/>
        <w:spacing w:before="200" w:after="200"/>
        <w:ind w:left="708" w:hanging="708"/>
        <w:rPr>
          <w:rFonts w:ascii="Times New Roman" w:hAnsi="Times New Roman" w:cs="Times New Roman"/>
          <w:color w:val="000000"/>
          <w:sz w:val="24"/>
          <w:szCs w:val="24"/>
        </w:rPr>
      </w:pPr>
      <w:r w:rsidRPr="00D33B48">
        <w:rPr>
          <w:rFonts w:ascii="Times New Roman" w:hAnsi="Times New Roman" w:cs="Times New Roman"/>
          <w:color w:val="000000"/>
          <w:sz w:val="24"/>
          <w:szCs w:val="24"/>
        </w:rPr>
        <w:t xml:space="preserve">- </w:t>
      </w:r>
      <w:r w:rsidRPr="00D33B48">
        <w:rPr>
          <w:rFonts w:ascii="Times New Roman" w:hAnsi="Times New Roman" w:cs="Times New Roman"/>
          <w:b/>
          <w:color w:val="000000"/>
          <w:sz w:val="24"/>
          <w:szCs w:val="24"/>
        </w:rPr>
        <w:t xml:space="preserve">Estudio acústico teórico: </w:t>
      </w:r>
      <w:r w:rsidRPr="00D33B48">
        <w:rPr>
          <w:rFonts w:ascii="Times New Roman" w:hAnsi="Times New Roman" w:cs="Times New Roman"/>
          <w:color w:val="000000"/>
          <w:sz w:val="24"/>
          <w:szCs w:val="24"/>
        </w:rPr>
        <w:t xml:space="preserve">conjunto de documentación técnica presentada ante el Ayuntamiento, acreditativa de la identificación y valoración del impacto ambiental en materia de ruido y vibraciones de un emisor acústico, que incluye solamente valoraciones teóricas conforme a las exigencias de la Ordenanza y resto de normas sectoriales. </w:t>
      </w:r>
    </w:p>
    <w:p w14:paraId="77ED4A45"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Foco ruidoso: </w:t>
      </w:r>
      <w:r w:rsidRPr="00D33B48">
        <w:rPr>
          <w:rFonts w:ascii="Times New Roman" w:hAnsi="Times New Roman" w:cs="Times New Roman"/>
          <w:color w:val="000000"/>
          <w:sz w:val="24"/>
          <w:szCs w:val="24"/>
        </w:rPr>
        <w:t xml:space="preserve">véase “emisor acústico”. </w:t>
      </w:r>
    </w:p>
    <w:p w14:paraId="65471DFE"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Gran aeropuerto: </w:t>
      </w:r>
      <w:r w:rsidRPr="00D33B48">
        <w:rPr>
          <w:rFonts w:ascii="Times New Roman" w:hAnsi="Times New Roman" w:cs="Times New Roman"/>
          <w:color w:val="000000"/>
          <w:sz w:val="24"/>
          <w:szCs w:val="24"/>
        </w:rPr>
        <w:t xml:space="preserve">cualquier aeropuerto civil con más de 50.000 movimientos por año, considerando como movimientos los despegues y aterrizajes, con exclusión de los que se efectúen únicamente a efectos de formación en aeronaves ligeras. </w:t>
      </w:r>
    </w:p>
    <w:p w14:paraId="74568CE3"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Gran eje ferroviario: </w:t>
      </w:r>
      <w:r w:rsidRPr="00D33B48">
        <w:rPr>
          <w:rFonts w:ascii="Times New Roman" w:hAnsi="Times New Roman" w:cs="Times New Roman"/>
          <w:color w:val="000000"/>
          <w:sz w:val="24"/>
          <w:szCs w:val="24"/>
        </w:rPr>
        <w:t xml:space="preserve">cualquier vía férrea con un tráfico superior a 30.000 trenes por año. </w:t>
      </w:r>
    </w:p>
    <w:p w14:paraId="3767C4B8"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color w:val="000000"/>
          <w:sz w:val="24"/>
          <w:szCs w:val="24"/>
        </w:rPr>
        <w:t xml:space="preserve">- </w:t>
      </w:r>
      <w:r w:rsidRPr="00D33B48">
        <w:rPr>
          <w:rFonts w:ascii="Times New Roman" w:hAnsi="Times New Roman" w:cs="Times New Roman"/>
          <w:b/>
          <w:color w:val="000000"/>
          <w:sz w:val="24"/>
          <w:szCs w:val="24"/>
        </w:rPr>
        <w:t xml:space="preserve">Gran eje viario: </w:t>
      </w:r>
      <w:r w:rsidRPr="00D33B48">
        <w:rPr>
          <w:rFonts w:ascii="Times New Roman" w:hAnsi="Times New Roman" w:cs="Times New Roman"/>
          <w:color w:val="000000"/>
          <w:sz w:val="24"/>
          <w:szCs w:val="24"/>
        </w:rPr>
        <w:t xml:space="preserve">cualquier carretera con un tráfico superior a 3.000.000 de vehículos por año. </w:t>
      </w:r>
    </w:p>
    <w:p w14:paraId="22F2A22F"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color w:val="000000"/>
          <w:sz w:val="24"/>
          <w:szCs w:val="24"/>
        </w:rPr>
        <w:t xml:space="preserve">- </w:t>
      </w:r>
      <w:r w:rsidRPr="00D33B48">
        <w:rPr>
          <w:rFonts w:ascii="Times New Roman" w:hAnsi="Times New Roman" w:cs="Times New Roman"/>
          <w:b/>
          <w:color w:val="000000"/>
          <w:sz w:val="24"/>
          <w:szCs w:val="24"/>
        </w:rPr>
        <w:t>Hilo musical</w:t>
      </w:r>
      <w:r w:rsidRPr="00D33B48">
        <w:rPr>
          <w:rFonts w:ascii="Times New Roman" w:hAnsi="Times New Roman" w:cs="Times New Roman"/>
          <w:color w:val="000000"/>
          <w:sz w:val="24"/>
          <w:szCs w:val="24"/>
        </w:rPr>
        <w:t xml:space="preserve">: véase “instalación de hilo musical”. </w:t>
      </w:r>
    </w:p>
    <w:p w14:paraId="5144A8A9"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lastRenderedPageBreak/>
        <w:t xml:space="preserve">- Indicador acústico: </w:t>
      </w:r>
      <w:r w:rsidRPr="00D33B48">
        <w:rPr>
          <w:rFonts w:ascii="Times New Roman" w:hAnsi="Times New Roman" w:cs="Times New Roman"/>
          <w:color w:val="000000"/>
          <w:sz w:val="24"/>
          <w:szCs w:val="24"/>
        </w:rPr>
        <w:t xml:space="preserve">cualquier índice de valoración de ruido, vibraciones, tiempo de reverberación, ruido de impacto, aislamiento acústico, etc., recogido en la Ordenanza o en la normativa sectorial. </w:t>
      </w:r>
    </w:p>
    <w:p w14:paraId="52072F17"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Informe de comprobación acústica preventiva: </w:t>
      </w:r>
      <w:r w:rsidRPr="00D33B48">
        <w:rPr>
          <w:rFonts w:ascii="Times New Roman" w:hAnsi="Times New Roman" w:cs="Times New Roman"/>
          <w:color w:val="000000"/>
          <w:sz w:val="24"/>
          <w:szCs w:val="24"/>
        </w:rPr>
        <w:t xml:space="preserve">informe que por cuenta del titular de la actividad es realizado por personal técnico competente tras realizar las mediciones y valoraciones acústicas correspondientes, con objeto de verificar el cumplimiento de los límites acústicos establecidos en la Ordenanza. El informe de comprobación acústica preventiva es voluntario, salvo en los casos donde la comprobación acústica de la actividad sea obligatoria según la Ordenanza. </w:t>
      </w:r>
    </w:p>
    <w:p w14:paraId="33EA7539" w14:textId="1D5B8670"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Informe técnico municipal sobre documentación en materia de contaminación acústica: </w:t>
      </w:r>
      <w:r w:rsidRPr="00D33B48">
        <w:rPr>
          <w:rFonts w:ascii="Times New Roman" w:hAnsi="Times New Roman" w:cs="Times New Roman"/>
          <w:color w:val="000000"/>
          <w:sz w:val="24"/>
          <w:szCs w:val="24"/>
        </w:rPr>
        <w:t xml:space="preserve">informe realizado por personal técnico del Ayuntamiento designado para estas funciones, que podrá formar parte del informe técnico medioambiental de una actividad, tras la revisión de un estudio o ensayo acústico o de cualquier documentación sobre la misma. </w:t>
      </w:r>
    </w:p>
    <w:p w14:paraId="449FCC4C"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color w:val="000000"/>
          <w:sz w:val="24"/>
          <w:szCs w:val="24"/>
        </w:rPr>
        <w:t xml:space="preserve">- </w:t>
      </w:r>
      <w:r w:rsidRPr="00D33B48">
        <w:rPr>
          <w:rFonts w:ascii="Times New Roman" w:hAnsi="Times New Roman" w:cs="Times New Roman"/>
          <w:b/>
          <w:color w:val="000000"/>
          <w:sz w:val="24"/>
          <w:szCs w:val="24"/>
        </w:rPr>
        <w:t xml:space="preserve">Informe técnico de inspección municipal comprobatoria en materia de contaminación acústica: </w:t>
      </w:r>
      <w:r w:rsidRPr="00D33B48">
        <w:rPr>
          <w:rFonts w:ascii="Times New Roman" w:hAnsi="Times New Roman" w:cs="Times New Roman"/>
          <w:color w:val="000000"/>
          <w:sz w:val="24"/>
          <w:szCs w:val="24"/>
        </w:rPr>
        <w:t xml:space="preserve">informe realizado por personal técnico del Ayuntamiento designado para estas labores, que podrá formar parte del informe técnico de inspección medioambiental, tras comprobar in situ la adecuación de la actividad al cumplimiento de la Ordenanza, estudio acústico, documentación acústica presentada y, en su caso, condiciones impuestas. En la inspección podrán requerirse o realizarse las comprobaciones acústicas que se estimen necesarias con objeto de verificar las condiciones de funcionamiento de la actividad o de alguno de sus emisores acústicos. </w:t>
      </w:r>
    </w:p>
    <w:p w14:paraId="416D491D"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Informe técnico de inspección municipal disciplinaria en materia de contaminación acústica: </w:t>
      </w:r>
      <w:r w:rsidRPr="00D33B48">
        <w:rPr>
          <w:rFonts w:ascii="Times New Roman" w:hAnsi="Times New Roman" w:cs="Times New Roman"/>
          <w:color w:val="000000"/>
          <w:sz w:val="24"/>
          <w:szCs w:val="24"/>
        </w:rPr>
        <w:t xml:space="preserve">informe realizado por personal técnico del Ayuntamiento designado para estas labores, tras la inspección de una actividad o emisor acústico motivada por una denuncia formal presentada contra dicha actividad o emisor por contaminación acústica. Las mediciones acústicas que se efectúen con objeto de verificar los hechos denunciados se harán constar en informe según el modelo indicado en el apartado B) del anexo VIII. </w:t>
      </w:r>
    </w:p>
    <w:p w14:paraId="189ABEA5"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Inspección en materia de contaminación acústica: </w:t>
      </w:r>
      <w:r w:rsidRPr="00D33B48">
        <w:rPr>
          <w:rFonts w:ascii="Times New Roman" w:hAnsi="Times New Roman" w:cs="Times New Roman"/>
          <w:color w:val="000000"/>
          <w:sz w:val="24"/>
          <w:szCs w:val="24"/>
        </w:rPr>
        <w:t xml:space="preserve">verificación in situ de la adecuación de un emisor acústico o actividad a las exigencias de la Ordenanza, basándose en un juicio profesional. </w:t>
      </w:r>
    </w:p>
    <w:p w14:paraId="03908302"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Instalación de elemento audiovisual: </w:t>
      </w:r>
      <w:r w:rsidRPr="00D33B48">
        <w:rPr>
          <w:rFonts w:ascii="Times New Roman" w:hAnsi="Times New Roman" w:cs="Times New Roman"/>
          <w:color w:val="000000"/>
          <w:sz w:val="24"/>
          <w:szCs w:val="24"/>
        </w:rPr>
        <w:t xml:space="preserve">véase “elemento audiovisual”. </w:t>
      </w:r>
    </w:p>
    <w:p w14:paraId="59FE86A4"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Instalación de elemento de imagen o video: </w:t>
      </w:r>
      <w:r w:rsidRPr="00D33B48">
        <w:rPr>
          <w:rFonts w:ascii="Times New Roman" w:hAnsi="Times New Roman" w:cs="Times New Roman"/>
          <w:color w:val="000000"/>
          <w:sz w:val="24"/>
          <w:szCs w:val="24"/>
        </w:rPr>
        <w:t xml:space="preserve">véase “elemento de imagen o video”. </w:t>
      </w:r>
    </w:p>
    <w:p w14:paraId="14803425"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Instalación de megafonía: </w:t>
      </w:r>
      <w:r w:rsidRPr="00D33B48">
        <w:rPr>
          <w:rFonts w:ascii="Times New Roman" w:hAnsi="Times New Roman" w:cs="Times New Roman"/>
          <w:color w:val="000000"/>
          <w:sz w:val="24"/>
          <w:szCs w:val="24"/>
        </w:rPr>
        <w:t xml:space="preserve">elemento o sistema electrónico de sonido utilizado para amplificar la voz humana emitida en directo. Consta básicamente de micrófono, amplificador de sonido y altavoz o altavoces. </w:t>
      </w:r>
    </w:p>
    <w:p w14:paraId="155D3EDE" w14:textId="5616BF81"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Instalación de hilo musical: </w:t>
      </w:r>
      <w:r w:rsidRPr="00D33B48">
        <w:rPr>
          <w:rFonts w:ascii="Times New Roman" w:hAnsi="Times New Roman" w:cs="Times New Roman"/>
          <w:color w:val="000000"/>
          <w:sz w:val="24"/>
          <w:szCs w:val="24"/>
        </w:rPr>
        <w:t xml:space="preserve">instalación compuesta de amplificador de audio y altavoces, en consultas médicas y actividades con usos de hospedaje, bienestar social y oficinas, que no tiene la consideración de instalación musical o actividad con música, a los efectos previstos en la Ordenanza, si el nivel de presión sonora a 1 m de distancia de cualquiera de los altavoces instalados no supera 70 </w:t>
      </w:r>
      <w:proofErr w:type="spellStart"/>
      <w:r w:rsidRPr="00D33B48">
        <w:rPr>
          <w:rFonts w:ascii="Times New Roman" w:hAnsi="Times New Roman" w:cs="Times New Roman"/>
          <w:color w:val="000000"/>
          <w:sz w:val="24"/>
          <w:szCs w:val="24"/>
        </w:rPr>
        <w:t>dBA</w:t>
      </w:r>
      <w:proofErr w:type="spellEnd"/>
      <w:r w:rsidRPr="00D33B48">
        <w:rPr>
          <w:rFonts w:ascii="Times New Roman" w:hAnsi="Times New Roman" w:cs="Times New Roman"/>
          <w:color w:val="000000"/>
          <w:sz w:val="24"/>
          <w:szCs w:val="24"/>
        </w:rPr>
        <w:t xml:space="preserve"> con el amplificador funcionado a máximo volumen y sin disponer </w:t>
      </w:r>
      <w:r w:rsidRPr="00D33B48">
        <w:rPr>
          <w:rFonts w:ascii="Times New Roman" w:hAnsi="Times New Roman" w:cs="Times New Roman"/>
          <w:color w:val="000000"/>
          <w:sz w:val="24"/>
          <w:szCs w:val="24"/>
        </w:rPr>
        <w:lastRenderedPageBreak/>
        <w:t xml:space="preserve">de limitador-controlador acústico. </w:t>
      </w:r>
      <w:r w:rsidR="001B0A85" w:rsidRPr="00025097">
        <w:rPr>
          <w:rFonts w:ascii="Times New Roman" w:hAnsi="Times New Roman" w:cs="Times New Roman"/>
          <w:color w:val="000000"/>
          <w:sz w:val="24"/>
          <w:szCs w:val="24"/>
        </w:rPr>
        <w:t>El Ayuntamiento podrá incluir, bajo su criterio, actividades distintas o adicionales a las señaladas, con objeto de que las mismas puedan disponer de esta instalación sin tener la consideración de actividades con música.</w:t>
      </w:r>
    </w:p>
    <w:p w14:paraId="354192CE"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Instalación musical: </w:t>
      </w:r>
      <w:r w:rsidRPr="00D33B48">
        <w:rPr>
          <w:rFonts w:ascii="Times New Roman" w:hAnsi="Times New Roman" w:cs="Times New Roman"/>
          <w:color w:val="000000"/>
          <w:sz w:val="24"/>
          <w:szCs w:val="24"/>
        </w:rPr>
        <w:t xml:space="preserve">cualquier sistema, instalación o aparato electrónico con amplificación de sonido y altavoz o altavoces. </w:t>
      </w:r>
    </w:p>
    <w:p w14:paraId="0DA42A31" w14:textId="2A18B9B5"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Karaoke: </w:t>
      </w:r>
      <w:r w:rsidRPr="00D33B48">
        <w:rPr>
          <w:rFonts w:ascii="Times New Roman" w:hAnsi="Times New Roman" w:cs="Times New Roman"/>
          <w:color w:val="000000"/>
          <w:sz w:val="24"/>
          <w:szCs w:val="24"/>
        </w:rPr>
        <w:t xml:space="preserve">instalación musical en establecimientos destinados a pubs o bares con música, sin escenario ni espacio acotado para baile, que consiste en ofrecer al público canciones con música pregrabada para que puedan ser cantadas usando un micrófono mientras se lee un texto en una pantalla o monitor. El nivel sonoro máximo autorizable en el interior del establecimiento no podrá exceder de 96 </w:t>
      </w:r>
      <w:proofErr w:type="spellStart"/>
      <w:r w:rsidRPr="00D33B48">
        <w:rPr>
          <w:rFonts w:ascii="Times New Roman" w:hAnsi="Times New Roman" w:cs="Times New Roman"/>
          <w:color w:val="000000"/>
          <w:sz w:val="24"/>
          <w:szCs w:val="24"/>
        </w:rPr>
        <w:t>dBA</w:t>
      </w:r>
      <w:proofErr w:type="spellEnd"/>
      <w:r w:rsidRPr="00D33B48">
        <w:rPr>
          <w:rFonts w:ascii="Times New Roman" w:hAnsi="Times New Roman" w:cs="Times New Roman"/>
          <w:color w:val="000000"/>
          <w:sz w:val="24"/>
          <w:szCs w:val="24"/>
        </w:rPr>
        <w:t xml:space="preserve">. A efectos de legalización, esta actividad deberá denominarse bar con música y karaoke o pub con karaoke. En cualquier </w:t>
      </w:r>
      <w:proofErr w:type="gramStart"/>
      <w:r w:rsidRPr="00D33B48">
        <w:rPr>
          <w:rFonts w:ascii="Times New Roman" w:hAnsi="Times New Roman" w:cs="Times New Roman"/>
          <w:color w:val="000000"/>
          <w:sz w:val="24"/>
          <w:szCs w:val="24"/>
        </w:rPr>
        <w:t>caso</w:t>
      </w:r>
      <w:proofErr w:type="gramEnd"/>
      <w:r w:rsidRPr="00D33B48">
        <w:rPr>
          <w:rFonts w:ascii="Times New Roman" w:hAnsi="Times New Roman" w:cs="Times New Roman"/>
          <w:color w:val="000000"/>
          <w:sz w:val="24"/>
          <w:szCs w:val="24"/>
        </w:rPr>
        <w:t xml:space="preserve"> se prohíbe en estos establecimientos la celebración de bailes. </w:t>
      </w:r>
    </w:p>
    <w:p w14:paraId="6DF358AA"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Límite acústico: </w:t>
      </w:r>
      <w:r w:rsidRPr="00D33B48">
        <w:rPr>
          <w:rFonts w:ascii="Times New Roman" w:hAnsi="Times New Roman" w:cs="Times New Roman"/>
          <w:color w:val="000000"/>
          <w:sz w:val="24"/>
          <w:szCs w:val="24"/>
        </w:rPr>
        <w:t xml:space="preserve">valor que deben cumplir los indicadores de ruido, vibraciones, aislamiento acústico a ruido aéreo, aislamiento acústico a ruido de impacto y tiempo de reverberación, según la Ordenanza. </w:t>
      </w:r>
    </w:p>
    <w:p w14:paraId="2B9D5ACF"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Megafonía: </w:t>
      </w:r>
      <w:r w:rsidRPr="00D33B48">
        <w:rPr>
          <w:rFonts w:ascii="Times New Roman" w:hAnsi="Times New Roman" w:cs="Times New Roman"/>
          <w:color w:val="000000"/>
          <w:sz w:val="24"/>
          <w:szCs w:val="24"/>
        </w:rPr>
        <w:t xml:space="preserve">véase “instalación de megafonía” </w:t>
      </w:r>
    </w:p>
    <w:p w14:paraId="4EB18426"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Mejor técnica disponible: </w:t>
      </w:r>
      <w:r w:rsidRPr="00D33B48">
        <w:rPr>
          <w:rFonts w:ascii="Times New Roman" w:hAnsi="Times New Roman" w:cs="Times New Roman"/>
          <w:color w:val="000000"/>
          <w:sz w:val="24"/>
          <w:szCs w:val="24"/>
        </w:rPr>
        <w:t xml:space="preserve">fase más eficaz y avanzada de desarrollo de instalaciones, sistemas, medios, máquinas, elementos o materiales para la corrección y prevención de ruido y vibraciones, que demuestren la capacidad técnica para satisfacer las exigencias de la Ordenanza. Para su determinación se tendrán en cuenta, entre otros factores, el empleo de materiales menos contaminantes o peligrosos, el consumo de energía, la seguridad, los avances de la técnica, el reconocimiento de la tecnología empleada por la Unión Europea y las organizaciones internacionales y la certificación de los laboratorios y organismos acreditados. </w:t>
      </w:r>
    </w:p>
    <w:p w14:paraId="0B27948D"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Modificación no sustancial de una actividad: </w:t>
      </w:r>
      <w:r w:rsidRPr="00D33B48">
        <w:rPr>
          <w:rFonts w:ascii="Times New Roman" w:hAnsi="Times New Roman" w:cs="Times New Roman"/>
          <w:color w:val="000000"/>
          <w:sz w:val="24"/>
          <w:szCs w:val="24"/>
        </w:rPr>
        <w:t xml:space="preserve">modificación o ampliación que no pueda entenderse sustancial, teniendo en cuenta la definición de modificación sustancial. </w:t>
      </w:r>
    </w:p>
    <w:p w14:paraId="087AAA89"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Modificación sustancial de una actividad: </w:t>
      </w:r>
      <w:r w:rsidRPr="00D33B48">
        <w:rPr>
          <w:rFonts w:ascii="Times New Roman" w:hAnsi="Times New Roman" w:cs="Times New Roman"/>
          <w:color w:val="000000"/>
          <w:sz w:val="24"/>
          <w:szCs w:val="24"/>
        </w:rPr>
        <w:t xml:space="preserve">toda modificación o ampliación respecto a superficie, uso, horario, instalaciones, sistemas, medios, máquinas, </w:t>
      </w:r>
      <w:proofErr w:type="spellStart"/>
      <w:r w:rsidRPr="00D33B48">
        <w:rPr>
          <w:rFonts w:ascii="Times New Roman" w:hAnsi="Times New Roman" w:cs="Times New Roman"/>
          <w:color w:val="000000"/>
          <w:sz w:val="24"/>
          <w:szCs w:val="24"/>
        </w:rPr>
        <w:t>etc</w:t>
      </w:r>
      <w:proofErr w:type="spellEnd"/>
      <w:r w:rsidRPr="00D33B48">
        <w:rPr>
          <w:rFonts w:ascii="Times New Roman" w:hAnsi="Times New Roman" w:cs="Times New Roman"/>
          <w:color w:val="000000"/>
          <w:sz w:val="24"/>
          <w:szCs w:val="24"/>
        </w:rPr>
        <w:t xml:space="preserve">, en una actividad legalizada que implique un aumento del aforo, del nivel sonoro o de vibraciones, o que implique una disminución del aislamiento acústico, teniendo en cuenta las condiciones bajo las que inicialmente se legalizó la actividad. </w:t>
      </w:r>
    </w:p>
    <w:p w14:paraId="64ECFDEB"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Música: </w:t>
      </w:r>
      <w:r w:rsidRPr="00D33B48">
        <w:rPr>
          <w:rFonts w:ascii="Times New Roman" w:hAnsi="Times New Roman" w:cs="Times New Roman"/>
          <w:color w:val="000000"/>
          <w:sz w:val="24"/>
          <w:szCs w:val="24"/>
        </w:rPr>
        <w:t xml:space="preserve">todo arte de combinar los sonidos de la voz humana o de los instrumentos, o de unos y otros a la vez. </w:t>
      </w:r>
    </w:p>
    <w:p w14:paraId="72D60A64"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Música en directo: </w:t>
      </w:r>
      <w:r w:rsidRPr="00D33B48">
        <w:rPr>
          <w:rFonts w:ascii="Times New Roman" w:hAnsi="Times New Roman" w:cs="Times New Roman"/>
          <w:color w:val="000000"/>
          <w:sz w:val="24"/>
          <w:szCs w:val="24"/>
        </w:rPr>
        <w:t xml:space="preserve">todo arte de combinar los sonidos de la voz humana o de los instrumentos, o de unos y otros a la vez, mediante interpretación en directo de sus ejecutantes. </w:t>
      </w:r>
    </w:p>
    <w:p w14:paraId="18599F5B"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-Nivel de inmisión en el exterior (NIE): </w:t>
      </w:r>
      <w:r w:rsidRPr="00D33B48">
        <w:rPr>
          <w:rFonts w:ascii="Times New Roman" w:hAnsi="Times New Roman" w:cs="Times New Roman"/>
          <w:color w:val="000000"/>
          <w:sz w:val="24"/>
          <w:szCs w:val="24"/>
        </w:rPr>
        <w:t xml:space="preserve">nivel sonoro transmitido por los emisores acústicos en el exterior de las áreas de sensibilidad acústica. </w:t>
      </w:r>
    </w:p>
    <w:p w14:paraId="414337CE"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Nivel de inmisión en el interior (NII): </w:t>
      </w:r>
      <w:r w:rsidRPr="00D33B48">
        <w:rPr>
          <w:rFonts w:ascii="Times New Roman" w:hAnsi="Times New Roman" w:cs="Times New Roman"/>
          <w:color w:val="000000"/>
          <w:sz w:val="24"/>
          <w:szCs w:val="24"/>
        </w:rPr>
        <w:t xml:space="preserve">ver: “valor de ruido transmitido (VRT)”. </w:t>
      </w:r>
    </w:p>
    <w:p w14:paraId="5EB3DA44" w14:textId="37FF8C1D"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Nivel sonoro aplicado a la actividad: </w:t>
      </w:r>
      <w:r w:rsidRPr="00D33B48">
        <w:rPr>
          <w:rFonts w:ascii="Times New Roman" w:hAnsi="Times New Roman" w:cs="Times New Roman"/>
          <w:color w:val="000000"/>
          <w:sz w:val="24"/>
          <w:szCs w:val="24"/>
        </w:rPr>
        <w:t xml:space="preserve">nivel sonoro que debe tomarse como referencia para </w:t>
      </w:r>
      <w:r w:rsidRPr="00D33B48">
        <w:rPr>
          <w:rFonts w:ascii="Times New Roman" w:hAnsi="Times New Roman" w:cs="Times New Roman"/>
          <w:color w:val="000000"/>
          <w:sz w:val="24"/>
          <w:szCs w:val="24"/>
        </w:rPr>
        <w:lastRenderedPageBreak/>
        <w:t xml:space="preserve">realizar el estudio acústico correspondiente. El nivel sonoro aplicado coincidirá con el nivel sonoro base de la actividad si ésta no dispone de focos ruidosos que emitan por encima del nivel sonoro base. En el cálculo del nivel sonoro aplicado se tendrán en cuenta los focos sonoros que concurren en una misma zona de la actividad, pudiendo existir distintos niveles sonoros aplicados según las distintas zonas de la actividad, por ejemplo, focos de ruido en el interior y en el exterior. En cualquier caso, el nivel sonoro aplicado nunca podrá ser inferior al nivel sonoro base de la actividad indicado en el anexo VII. </w:t>
      </w:r>
    </w:p>
    <w:p w14:paraId="34C95532"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Nivel sonoro base de la actividad: </w:t>
      </w:r>
      <w:r w:rsidRPr="00D33B48">
        <w:rPr>
          <w:rFonts w:ascii="Times New Roman" w:hAnsi="Times New Roman" w:cs="Times New Roman"/>
          <w:color w:val="000000"/>
          <w:sz w:val="24"/>
          <w:szCs w:val="24"/>
        </w:rPr>
        <w:t xml:space="preserve">valor mínimo del nivel sonoro en el interior de una actividad que según el anexo VII debe tomarse como base de partida en el estudio acústico. Para cualquier actividad, el nivel sonoro base a tomar en el estudio acústico será igual o mayor a 70 </w:t>
      </w:r>
      <w:proofErr w:type="spellStart"/>
      <w:r w:rsidRPr="00D33B48">
        <w:rPr>
          <w:rFonts w:ascii="Times New Roman" w:hAnsi="Times New Roman" w:cs="Times New Roman"/>
          <w:color w:val="000000"/>
          <w:sz w:val="24"/>
          <w:szCs w:val="24"/>
        </w:rPr>
        <w:t>dBA</w:t>
      </w:r>
      <w:proofErr w:type="spellEnd"/>
      <w:r w:rsidRPr="00D33B48">
        <w:rPr>
          <w:rFonts w:ascii="Times New Roman" w:hAnsi="Times New Roman" w:cs="Times New Roman"/>
          <w:color w:val="000000"/>
          <w:sz w:val="24"/>
          <w:szCs w:val="24"/>
        </w:rPr>
        <w:t xml:space="preserve">, figure o no en el anexo VII, salvo para focos ruidosos o máquinas ubicados en el exterior donde deberá tenerse en cuenta el nivel sonoro acreditado en la documentación técnica del fabricante, mediante ensayo conforme a norma. </w:t>
      </w:r>
    </w:p>
    <w:p w14:paraId="2AD6279F"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Nivel sonoro de instalación y ajuste del limitador-controlador acústico (NSIAL): </w:t>
      </w:r>
      <w:r w:rsidRPr="00D33B48">
        <w:rPr>
          <w:rFonts w:ascii="Times New Roman" w:hAnsi="Times New Roman" w:cs="Times New Roman"/>
          <w:color w:val="000000"/>
          <w:sz w:val="24"/>
          <w:szCs w:val="24"/>
        </w:rPr>
        <w:t>nivel sonoro que tras la instalación y ajuste del limitador no podrá ser superado en ningún punto del interior de la actividad como consecuencia del funcionamiento de la instalación musical que controla. El valor del NSIAL debe darse espectralmente en BTO (dB) y globalmente (</w:t>
      </w:r>
      <w:proofErr w:type="spellStart"/>
      <w:r w:rsidRPr="00D33B48">
        <w:rPr>
          <w:rFonts w:ascii="Times New Roman" w:hAnsi="Times New Roman" w:cs="Times New Roman"/>
          <w:color w:val="000000"/>
          <w:sz w:val="24"/>
          <w:szCs w:val="24"/>
        </w:rPr>
        <w:t>dBA</w:t>
      </w:r>
      <w:proofErr w:type="spellEnd"/>
      <w:r w:rsidRPr="00D33B48">
        <w:rPr>
          <w:rFonts w:ascii="Times New Roman" w:hAnsi="Times New Roman" w:cs="Times New Roman"/>
          <w:color w:val="000000"/>
          <w:sz w:val="24"/>
          <w:szCs w:val="24"/>
        </w:rPr>
        <w:t xml:space="preserve">). </w:t>
      </w:r>
    </w:p>
    <w:p w14:paraId="74BACB09"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Nivel sonoro referencial de instalación y ajuste del limitador-controlador acústico (NSRIAL): </w:t>
      </w:r>
      <w:r w:rsidRPr="00D33B48">
        <w:rPr>
          <w:rFonts w:ascii="Times New Roman" w:hAnsi="Times New Roman" w:cs="Times New Roman"/>
          <w:color w:val="000000"/>
          <w:sz w:val="24"/>
          <w:szCs w:val="24"/>
        </w:rPr>
        <w:t>nivel de presión sonora medido a máxima ganancia del equipo de sonido, con ruido rosa y respuesta “</w:t>
      </w:r>
      <w:proofErr w:type="spellStart"/>
      <w:r w:rsidRPr="00D33B48">
        <w:rPr>
          <w:rFonts w:ascii="Times New Roman" w:hAnsi="Times New Roman" w:cs="Times New Roman"/>
          <w:color w:val="000000"/>
          <w:sz w:val="24"/>
          <w:szCs w:val="24"/>
        </w:rPr>
        <w:t>fast</w:t>
      </w:r>
      <w:proofErr w:type="spellEnd"/>
      <w:r w:rsidRPr="00D33B48">
        <w:rPr>
          <w:rFonts w:ascii="Times New Roman" w:hAnsi="Times New Roman" w:cs="Times New Roman"/>
          <w:color w:val="000000"/>
          <w:sz w:val="24"/>
          <w:szCs w:val="24"/>
        </w:rPr>
        <w:t>”, en un punto P(</w:t>
      </w:r>
      <w:proofErr w:type="spellStart"/>
      <w:proofErr w:type="gramStart"/>
      <w:r w:rsidRPr="00D33B48">
        <w:rPr>
          <w:rFonts w:ascii="Times New Roman" w:hAnsi="Times New Roman" w:cs="Times New Roman"/>
          <w:color w:val="000000"/>
          <w:sz w:val="24"/>
          <w:szCs w:val="24"/>
        </w:rPr>
        <w:t>x,y</w:t>
      </w:r>
      <w:proofErr w:type="gramEnd"/>
      <w:r w:rsidRPr="00D33B48">
        <w:rPr>
          <w:rFonts w:ascii="Times New Roman" w:hAnsi="Times New Roman" w:cs="Times New Roman"/>
          <w:color w:val="000000"/>
          <w:sz w:val="24"/>
          <w:szCs w:val="24"/>
        </w:rPr>
        <w:t>,z</w:t>
      </w:r>
      <w:proofErr w:type="spellEnd"/>
      <w:r w:rsidRPr="00D33B48">
        <w:rPr>
          <w:rFonts w:ascii="Times New Roman" w:hAnsi="Times New Roman" w:cs="Times New Roman"/>
          <w:color w:val="000000"/>
          <w:sz w:val="24"/>
          <w:szCs w:val="24"/>
        </w:rPr>
        <w:t>) del interior de la actividad, tras la instalación y ajuste del limitador, que se tomará como referencia para posteriores controles de la actividad. El NSRIAL se certificará tras la instalación y ajuste del limitador, no pudiendo nunca superar al NSIAL. El punto P(</w:t>
      </w:r>
      <w:proofErr w:type="spellStart"/>
      <w:proofErr w:type="gramStart"/>
      <w:r w:rsidRPr="00D33B48">
        <w:rPr>
          <w:rFonts w:ascii="Times New Roman" w:hAnsi="Times New Roman" w:cs="Times New Roman"/>
          <w:color w:val="000000"/>
          <w:sz w:val="24"/>
          <w:szCs w:val="24"/>
        </w:rPr>
        <w:t>x,y</w:t>
      </w:r>
      <w:proofErr w:type="gramEnd"/>
      <w:r w:rsidRPr="00D33B48">
        <w:rPr>
          <w:rFonts w:ascii="Times New Roman" w:hAnsi="Times New Roman" w:cs="Times New Roman"/>
          <w:color w:val="000000"/>
          <w:sz w:val="24"/>
          <w:szCs w:val="24"/>
        </w:rPr>
        <w:t>,z</w:t>
      </w:r>
      <w:proofErr w:type="spellEnd"/>
      <w:r w:rsidRPr="00D33B48">
        <w:rPr>
          <w:rFonts w:ascii="Times New Roman" w:hAnsi="Times New Roman" w:cs="Times New Roman"/>
          <w:color w:val="000000"/>
          <w:sz w:val="24"/>
          <w:szCs w:val="24"/>
        </w:rPr>
        <w:t>) debe elegirse en la zona principal de estancia del público. El valor del NSRIAL debe darse en forma global (</w:t>
      </w:r>
      <w:proofErr w:type="spellStart"/>
      <w:r w:rsidRPr="00D33B48">
        <w:rPr>
          <w:rFonts w:ascii="Times New Roman" w:hAnsi="Times New Roman" w:cs="Times New Roman"/>
          <w:color w:val="000000"/>
          <w:sz w:val="24"/>
          <w:szCs w:val="24"/>
        </w:rPr>
        <w:t>dBA</w:t>
      </w:r>
      <w:proofErr w:type="spellEnd"/>
      <w:r w:rsidRPr="00D33B48">
        <w:rPr>
          <w:rFonts w:ascii="Times New Roman" w:hAnsi="Times New Roman" w:cs="Times New Roman"/>
          <w:color w:val="000000"/>
          <w:sz w:val="24"/>
          <w:szCs w:val="24"/>
        </w:rPr>
        <w:t xml:space="preserve">). </w:t>
      </w:r>
    </w:p>
    <w:p w14:paraId="3D0C1507"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Normas de calidad acústica: </w:t>
      </w:r>
      <w:r w:rsidRPr="00D33B48">
        <w:rPr>
          <w:rFonts w:ascii="Times New Roman" w:hAnsi="Times New Roman" w:cs="Times New Roman"/>
          <w:color w:val="000000"/>
          <w:sz w:val="24"/>
          <w:szCs w:val="24"/>
        </w:rPr>
        <w:t xml:space="preserve">conjunto de prescripciones que en relación con la acústica arquitectónica o medioambiental deben cumplirse respecto de una edificación o emisor acústico, teniendo en cuenta lo establecido en la Ordenanza. </w:t>
      </w:r>
    </w:p>
    <w:p w14:paraId="138F71A8"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Nueva infraestructura de transporte viario, ferroviario, aeroportuario o portuario: </w:t>
      </w:r>
      <w:r w:rsidRPr="00D33B48">
        <w:rPr>
          <w:rFonts w:ascii="Times New Roman" w:hAnsi="Times New Roman" w:cs="Times New Roman"/>
          <w:color w:val="000000"/>
          <w:sz w:val="24"/>
          <w:szCs w:val="24"/>
        </w:rPr>
        <w:t xml:space="preserve">se entiende por nueva infraestructura de transporte viario, ferroviario, aeroportuario o portuario de competencia autonómica o local: </w:t>
      </w:r>
    </w:p>
    <w:p w14:paraId="0107F1C8" w14:textId="24C91114" w:rsidR="00D33B48" w:rsidRPr="00D33B48" w:rsidRDefault="00D33B48" w:rsidP="00B577F1">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color w:val="000000"/>
          <w:sz w:val="24"/>
          <w:szCs w:val="24"/>
        </w:rPr>
        <w:t xml:space="preserve">a) Aquella cuya iniciación del correspondiente procedimiento de declaración de impacto ambiental, o de otorgamiento de la autorización ambiental unificada, se inicie con posterioridad a la entrada en vigor del </w:t>
      </w:r>
      <w:r w:rsidRPr="00B577F1">
        <w:rPr>
          <w:rFonts w:ascii="Times New Roman" w:hAnsi="Times New Roman" w:cs="Times New Roman"/>
          <w:color w:val="000000"/>
          <w:sz w:val="24"/>
          <w:szCs w:val="24"/>
        </w:rPr>
        <w:t xml:space="preserve">Decreto </w:t>
      </w:r>
      <w:r w:rsidR="00B577F1" w:rsidRPr="00B577F1">
        <w:rPr>
          <w:rFonts w:ascii="Times New Roman" w:hAnsi="Times New Roman" w:cs="Times New Roman"/>
          <w:color w:val="000000"/>
          <w:sz w:val="24"/>
          <w:szCs w:val="24"/>
        </w:rPr>
        <w:t>50/2025, de 24 de febrero, por el que se aprueba el Reglamento para la</w:t>
      </w:r>
      <w:r w:rsidR="00B577F1">
        <w:rPr>
          <w:rFonts w:ascii="Times New Roman" w:hAnsi="Times New Roman" w:cs="Times New Roman"/>
          <w:color w:val="000000"/>
          <w:sz w:val="24"/>
          <w:szCs w:val="24"/>
        </w:rPr>
        <w:t xml:space="preserve"> </w:t>
      </w:r>
      <w:r w:rsidR="00B577F1" w:rsidRPr="00B577F1">
        <w:rPr>
          <w:rFonts w:ascii="Times New Roman" w:hAnsi="Times New Roman" w:cs="Times New Roman"/>
          <w:color w:val="000000"/>
          <w:sz w:val="24"/>
          <w:szCs w:val="24"/>
        </w:rPr>
        <w:t>preservación de la calidad acústica en Andalucía</w:t>
      </w:r>
      <w:r w:rsidRPr="00D33B48">
        <w:rPr>
          <w:rFonts w:ascii="Times New Roman" w:hAnsi="Times New Roman" w:cs="Times New Roman"/>
          <w:color w:val="000000"/>
          <w:sz w:val="24"/>
          <w:szCs w:val="24"/>
        </w:rPr>
        <w:t xml:space="preserve">. </w:t>
      </w:r>
    </w:p>
    <w:p w14:paraId="28D33E87"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color w:val="000000"/>
          <w:sz w:val="24"/>
          <w:szCs w:val="24"/>
        </w:rPr>
        <w:t xml:space="preserve">b) Las obras de modificación de una infraestructura preexistente sujetas a declaración de impacto ambiental o a autorización ambiental unificada, que supongan, al menos, la duplicación de la capacidad adjudicada a la infraestructura correspondiente, entendiéndose por tal: </w:t>
      </w:r>
    </w:p>
    <w:p w14:paraId="4B1295B6"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color w:val="000000"/>
          <w:sz w:val="24"/>
          <w:szCs w:val="24"/>
        </w:rPr>
        <w:t xml:space="preserve">i. En el caso de un aeropuerto, cuando las obras de modificación </w:t>
      </w:r>
      <w:proofErr w:type="gramStart"/>
      <w:r w:rsidRPr="00D33B48">
        <w:rPr>
          <w:rFonts w:ascii="Times New Roman" w:hAnsi="Times New Roman" w:cs="Times New Roman"/>
          <w:color w:val="000000"/>
          <w:sz w:val="24"/>
          <w:szCs w:val="24"/>
        </w:rPr>
        <w:t>del mismo</w:t>
      </w:r>
      <w:proofErr w:type="gramEnd"/>
      <w:r w:rsidRPr="00D33B48">
        <w:rPr>
          <w:rFonts w:ascii="Times New Roman" w:hAnsi="Times New Roman" w:cs="Times New Roman"/>
          <w:color w:val="000000"/>
          <w:sz w:val="24"/>
          <w:szCs w:val="24"/>
        </w:rPr>
        <w:t xml:space="preserve"> pretendan duplicar el número máximo de operaciones por hora de aeronaves. </w:t>
      </w:r>
    </w:p>
    <w:p w14:paraId="50D004D9" w14:textId="77777777" w:rsidR="00A6297C" w:rsidRDefault="00D33B48" w:rsidP="00D33B48">
      <w:pPr>
        <w:pStyle w:val="Estilo1"/>
        <w:spacing w:before="200" w:after="200"/>
        <w:rPr>
          <w:rFonts w:ascii="Times New Roman" w:hAnsi="Times New Roman" w:cs="Times New Roman"/>
          <w:color w:val="000000"/>
          <w:sz w:val="24"/>
          <w:szCs w:val="24"/>
        </w:rPr>
      </w:pPr>
      <w:proofErr w:type="spellStart"/>
      <w:r w:rsidRPr="00D33B48">
        <w:rPr>
          <w:rFonts w:ascii="Times New Roman" w:hAnsi="Times New Roman" w:cs="Times New Roman"/>
          <w:color w:val="000000"/>
          <w:sz w:val="24"/>
          <w:szCs w:val="24"/>
        </w:rPr>
        <w:t>ii</w:t>
      </w:r>
      <w:proofErr w:type="spellEnd"/>
      <w:r w:rsidRPr="00D33B48">
        <w:rPr>
          <w:rFonts w:ascii="Times New Roman" w:hAnsi="Times New Roman" w:cs="Times New Roman"/>
          <w:color w:val="000000"/>
          <w:sz w:val="24"/>
          <w:szCs w:val="24"/>
        </w:rPr>
        <w:t xml:space="preserve">. En el caso de una carretera, cuando las obras de modificación permitan la duplicación de la </w:t>
      </w:r>
      <w:r w:rsidRPr="00D33B48">
        <w:rPr>
          <w:rFonts w:ascii="Times New Roman" w:hAnsi="Times New Roman" w:cs="Times New Roman"/>
          <w:color w:val="000000"/>
          <w:sz w:val="24"/>
          <w:szCs w:val="24"/>
        </w:rPr>
        <w:lastRenderedPageBreak/>
        <w:t xml:space="preserve">máxima intensidad de vehículos que pueden pasar por ese tramo de carretera. La intensidad se expresará en vehículos por hora. </w:t>
      </w:r>
    </w:p>
    <w:p w14:paraId="5279222D" w14:textId="47E900C9" w:rsidR="00D33B48" w:rsidRPr="00D33B48" w:rsidRDefault="00D33B48" w:rsidP="00D33B48">
      <w:pPr>
        <w:pStyle w:val="Estilo1"/>
        <w:spacing w:before="200" w:after="200"/>
        <w:rPr>
          <w:rFonts w:ascii="Times New Roman" w:hAnsi="Times New Roman" w:cs="Times New Roman"/>
          <w:color w:val="000000"/>
          <w:sz w:val="24"/>
          <w:szCs w:val="24"/>
        </w:rPr>
      </w:pPr>
      <w:proofErr w:type="spellStart"/>
      <w:r w:rsidRPr="00D33B48">
        <w:rPr>
          <w:rFonts w:ascii="Times New Roman" w:hAnsi="Times New Roman" w:cs="Times New Roman"/>
          <w:color w:val="000000"/>
          <w:sz w:val="24"/>
          <w:szCs w:val="24"/>
        </w:rPr>
        <w:t>iii</w:t>
      </w:r>
      <w:proofErr w:type="spellEnd"/>
      <w:r w:rsidRPr="00D33B48">
        <w:rPr>
          <w:rFonts w:ascii="Times New Roman" w:hAnsi="Times New Roman" w:cs="Times New Roman"/>
          <w:color w:val="000000"/>
          <w:sz w:val="24"/>
          <w:szCs w:val="24"/>
        </w:rPr>
        <w:t xml:space="preserve">. En el caso de un puerto, cuando se duplique la superficie del suelo destinada al tráfico portuario. </w:t>
      </w:r>
    </w:p>
    <w:p w14:paraId="0C20EED2" w14:textId="77777777" w:rsidR="00D33B48" w:rsidRPr="00D33B48" w:rsidRDefault="00D33B48" w:rsidP="00D33B48">
      <w:pPr>
        <w:pStyle w:val="Estilo1"/>
        <w:spacing w:before="200" w:after="200"/>
        <w:rPr>
          <w:rFonts w:ascii="Times New Roman" w:hAnsi="Times New Roman" w:cs="Times New Roman"/>
          <w:color w:val="000000"/>
          <w:sz w:val="24"/>
          <w:szCs w:val="24"/>
        </w:rPr>
      </w:pPr>
      <w:proofErr w:type="spellStart"/>
      <w:r w:rsidRPr="00D33B48">
        <w:rPr>
          <w:rFonts w:ascii="Times New Roman" w:hAnsi="Times New Roman" w:cs="Times New Roman"/>
          <w:color w:val="000000"/>
          <w:sz w:val="24"/>
          <w:szCs w:val="24"/>
        </w:rPr>
        <w:t>iv</w:t>
      </w:r>
      <w:proofErr w:type="spellEnd"/>
      <w:r w:rsidRPr="00D33B48">
        <w:rPr>
          <w:rFonts w:ascii="Times New Roman" w:hAnsi="Times New Roman" w:cs="Times New Roman"/>
          <w:color w:val="000000"/>
          <w:sz w:val="24"/>
          <w:szCs w:val="24"/>
        </w:rPr>
        <w:t xml:space="preserve">. En el caso de una infraestructura ferroviaria, cuando la obra de modificación permita duplicar la capacidad de adjudicación de la infraestructura preexistente. </w:t>
      </w:r>
    </w:p>
    <w:p w14:paraId="667692ED"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color w:val="000000"/>
          <w:sz w:val="24"/>
          <w:szCs w:val="24"/>
        </w:rPr>
        <w:t xml:space="preserve">c) Las modificaciones sustanciales definidas en el artículo 19.11 de la Ley 7/2007, de 9 de julio, de 9 de julio, de las infraestructuras preexistentes. </w:t>
      </w:r>
    </w:p>
    <w:p w14:paraId="6DEF877B"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Patio de luces: </w:t>
      </w:r>
      <w:r w:rsidRPr="00D33B48">
        <w:rPr>
          <w:rFonts w:ascii="Times New Roman" w:hAnsi="Times New Roman" w:cs="Times New Roman"/>
          <w:color w:val="000000"/>
          <w:sz w:val="24"/>
          <w:szCs w:val="24"/>
        </w:rPr>
        <w:t xml:space="preserve">todo patio de parcela interior de un edificio cuyas fachadas dispongan de huecos que comuniquen con piezas habitables del mismo. </w:t>
      </w:r>
    </w:p>
    <w:p w14:paraId="192D5D6A"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Patio de ventilación: </w:t>
      </w:r>
      <w:r w:rsidRPr="00D33B48">
        <w:rPr>
          <w:rFonts w:ascii="Times New Roman" w:hAnsi="Times New Roman" w:cs="Times New Roman"/>
          <w:color w:val="000000"/>
          <w:sz w:val="24"/>
          <w:szCs w:val="24"/>
        </w:rPr>
        <w:t xml:space="preserve">todo patio de parcela interior de un edificio cuyas fachadas dispongan de huecos que comuniquen con piezas habitables no destinadas a permanencia prolongada de personas (baños, escaleras, zonas comunes, etc.) </w:t>
      </w:r>
    </w:p>
    <w:p w14:paraId="7C657C5A"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Pérdida de energía acústica a ruido aéreo entre dos recintos, P(E-R): </w:t>
      </w:r>
      <w:r w:rsidRPr="00D33B48">
        <w:rPr>
          <w:rFonts w:ascii="Times New Roman" w:hAnsi="Times New Roman" w:cs="Times New Roman"/>
          <w:color w:val="000000"/>
          <w:sz w:val="24"/>
          <w:szCs w:val="24"/>
        </w:rPr>
        <w:t xml:space="preserve">diferencia de niveles entre un recinto emisor y un recinto receptor ajeno, o entre dicho recinto emisor y un punto del exterior, evaluada conforme al procedimiento del apartado B del anexo VII. </w:t>
      </w:r>
    </w:p>
    <w:p w14:paraId="5C608886"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color w:val="000000"/>
          <w:sz w:val="24"/>
          <w:szCs w:val="24"/>
        </w:rPr>
        <w:t xml:space="preserve">- </w:t>
      </w:r>
      <w:r w:rsidRPr="00D33B48">
        <w:rPr>
          <w:rFonts w:ascii="Times New Roman" w:hAnsi="Times New Roman" w:cs="Times New Roman"/>
          <w:b/>
          <w:color w:val="000000"/>
          <w:sz w:val="24"/>
          <w:szCs w:val="24"/>
        </w:rPr>
        <w:t xml:space="preserve">Pérdida de energía acústica a ruido aéreo, ponderada A, entre dos recintos, PA(E-R): </w:t>
      </w:r>
      <w:r w:rsidRPr="00D33B48">
        <w:rPr>
          <w:rFonts w:ascii="Times New Roman" w:hAnsi="Times New Roman" w:cs="Times New Roman"/>
          <w:color w:val="000000"/>
          <w:sz w:val="24"/>
          <w:szCs w:val="24"/>
        </w:rPr>
        <w:t xml:space="preserve">diferencia de niveles, ponderada A, entre un recinto emisor y un recinto receptor ajeno, o entre dicho recinto emisor y un punto del exterior, evaluada conforme al procedimiento del apartado B del anexo VII. </w:t>
      </w:r>
    </w:p>
    <w:p w14:paraId="7E625205" w14:textId="77777777" w:rsidR="00D33B48" w:rsidRP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Personal técnico competente: </w:t>
      </w:r>
      <w:r w:rsidRPr="00D33B48">
        <w:rPr>
          <w:rFonts w:ascii="Times New Roman" w:hAnsi="Times New Roman" w:cs="Times New Roman"/>
          <w:color w:val="000000"/>
          <w:sz w:val="24"/>
          <w:szCs w:val="24"/>
        </w:rPr>
        <w:t xml:space="preserve">persona con titulación académica o experiencia profesional suficiente, habilitantes para realizar los estudios y ensayos acústicos descritos en la </w:t>
      </w:r>
      <w:proofErr w:type="gramStart"/>
      <w:r w:rsidRPr="00D33B48">
        <w:rPr>
          <w:rFonts w:ascii="Times New Roman" w:hAnsi="Times New Roman" w:cs="Times New Roman"/>
          <w:color w:val="000000"/>
          <w:sz w:val="24"/>
          <w:szCs w:val="24"/>
        </w:rPr>
        <w:t>Ordenanza</w:t>
      </w:r>
      <w:proofErr w:type="gramEnd"/>
      <w:r w:rsidRPr="00D33B48">
        <w:rPr>
          <w:rFonts w:ascii="Times New Roman" w:hAnsi="Times New Roman" w:cs="Times New Roman"/>
          <w:color w:val="000000"/>
          <w:sz w:val="24"/>
          <w:szCs w:val="24"/>
        </w:rPr>
        <w:t xml:space="preserve"> así como para expedir certificaciones de cumplimiento de las normas de calidad y prevención acústicas. Se considera experiencia profesional suficiente haber trabajado en el campo de la contaminación acústica por un espacio superior a cinco años, habiendo realizado un mínimo de veinte estudios y ensayos. </w:t>
      </w:r>
    </w:p>
    <w:p w14:paraId="1CF185C0" w14:textId="77777777" w:rsidR="00D33B48" w:rsidRDefault="00D33B48" w:rsidP="00D33B48">
      <w:pPr>
        <w:pStyle w:val="Estilo1"/>
        <w:spacing w:before="200" w:after="200"/>
        <w:rPr>
          <w:rFonts w:ascii="Times New Roman" w:hAnsi="Times New Roman" w:cs="Times New Roman"/>
          <w:color w:val="000000"/>
          <w:sz w:val="24"/>
          <w:szCs w:val="24"/>
        </w:rPr>
      </w:pPr>
      <w:r w:rsidRPr="00D33B48">
        <w:rPr>
          <w:rFonts w:ascii="Times New Roman" w:hAnsi="Times New Roman" w:cs="Times New Roman"/>
          <w:b/>
          <w:color w:val="000000"/>
          <w:sz w:val="24"/>
          <w:szCs w:val="24"/>
        </w:rPr>
        <w:t xml:space="preserve">- Ponderación “A”: </w:t>
      </w:r>
      <w:r w:rsidRPr="00D33B48">
        <w:rPr>
          <w:rFonts w:ascii="Times New Roman" w:hAnsi="Times New Roman" w:cs="Times New Roman"/>
          <w:color w:val="000000"/>
          <w:sz w:val="24"/>
          <w:szCs w:val="24"/>
        </w:rPr>
        <w:t xml:space="preserve">aproximación con signo menos de la línea isofónica con un nivel de sonoridad igual a 40 fonios. La curva de ponderación “A” corrige los niveles sonoros por frecuencias adaptándolos a la respuesta del oído humano. </w:t>
      </w:r>
    </w:p>
    <w:p w14:paraId="676E3D8B" w14:textId="06F554B4" w:rsidR="00A6297C" w:rsidRPr="00D33B48" w:rsidRDefault="00A6297C" w:rsidP="00D33B48">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color w:val="000000"/>
          <w:sz w:val="24"/>
          <w:szCs w:val="24"/>
        </w:rPr>
        <w:t>a) Para estudios acústicos, en BTO, toma los valores siguientes:</w:t>
      </w:r>
    </w:p>
    <w:tbl>
      <w:tblPr>
        <w:tblW w:w="8440" w:type="dxa"/>
        <w:tblCellMar>
          <w:left w:w="70" w:type="dxa"/>
          <w:right w:w="70" w:type="dxa"/>
        </w:tblCellMar>
        <w:tblLook w:val="04A0" w:firstRow="1" w:lastRow="0" w:firstColumn="1" w:lastColumn="0" w:noHBand="0" w:noVBand="1"/>
      </w:tblPr>
      <w:tblGrid>
        <w:gridCol w:w="2140"/>
        <w:gridCol w:w="700"/>
        <w:gridCol w:w="700"/>
        <w:gridCol w:w="700"/>
        <w:gridCol w:w="700"/>
        <w:gridCol w:w="700"/>
        <w:gridCol w:w="700"/>
        <w:gridCol w:w="700"/>
        <w:gridCol w:w="700"/>
        <w:gridCol w:w="700"/>
      </w:tblGrid>
      <w:tr w:rsidR="00E47E1A" w:rsidRPr="00E47E1A" w14:paraId="1B2711D1" w14:textId="77777777" w:rsidTr="00E47E1A">
        <w:trPr>
          <w:trHeight w:val="288"/>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B390C"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Frecuencia (Hz)</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1818489E"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100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76A6A545"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125</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721F3A08"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160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3022963"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200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74FA84C4"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250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49C4502F"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315</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0B44F405"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400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F52083B"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500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912A3EA"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630</w:t>
            </w:r>
          </w:p>
        </w:tc>
      </w:tr>
      <w:tr w:rsidR="00E47E1A" w:rsidRPr="00E47E1A" w14:paraId="3F32C8D2" w14:textId="77777777" w:rsidTr="00E47E1A">
        <w:trPr>
          <w:trHeight w:val="552"/>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44E32F2E"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Curva de ponderación (</w:t>
            </w:r>
            <w:proofErr w:type="spellStart"/>
            <w:r w:rsidRPr="00E47E1A">
              <w:rPr>
                <w:rFonts w:ascii="Times New Roman" w:eastAsia="Times New Roman" w:hAnsi="Times New Roman" w:cs="Times New Roman"/>
                <w:color w:val="000000"/>
                <w:lang w:eastAsia="es-ES"/>
                <w14:ligatures w14:val="none"/>
              </w:rPr>
              <w:t>dBA</w:t>
            </w:r>
            <w:proofErr w:type="spellEnd"/>
            <w:r w:rsidRPr="00E47E1A">
              <w:rPr>
                <w:rFonts w:ascii="Times New Roman" w:eastAsia="Times New Roman" w:hAnsi="Times New Roman" w:cs="Times New Roman"/>
                <w:color w:val="000000"/>
                <w:lang w:eastAsia="es-ES"/>
                <w14:ligatures w14:val="none"/>
              </w:rPr>
              <w:t>)</w:t>
            </w:r>
          </w:p>
        </w:tc>
        <w:tc>
          <w:tcPr>
            <w:tcW w:w="700" w:type="dxa"/>
            <w:tcBorders>
              <w:top w:val="nil"/>
              <w:left w:val="nil"/>
              <w:bottom w:val="single" w:sz="4" w:space="0" w:color="auto"/>
              <w:right w:val="single" w:sz="4" w:space="0" w:color="auto"/>
            </w:tcBorders>
            <w:shd w:val="clear" w:color="auto" w:fill="auto"/>
            <w:noWrap/>
            <w:vAlign w:val="center"/>
            <w:hideMark/>
          </w:tcPr>
          <w:p w14:paraId="5A95D0A6"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-19,1</w:t>
            </w:r>
          </w:p>
        </w:tc>
        <w:tc>
          <w:tcPr>
            <w:tcW w:w="700" w:type="dxa"/>
            <w:tcBorders>
              <w:top w:val="nil"/>
              <w:left w:val="nil"/>
              <w:bottom w:val="single" w:sz="4" w:space="0" w:color="auto"/>
              <w:right w:val="single" w:sz="4" w:space="0" w:color="auto"/>
            </w:tcBorders>
            <w:shd w:val="clear" w:color="auto" w:fill="auto"/>
            <w:noWrap/>
            <w:vAlign w:val="center"/>
            <w:hideMark/>
          </w:tcPr>
          <w:p w14:paraId="40726172"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-16,1</w:t>
            </w:r>
          </w:p>
        </w:tc>
        <w:tc>
          <w:tcPr>
            <w:tcW w:w="700" w:type="dxa"/>
            <w:tcBorders>
              <w:top w:val="nil"/>
              <w:left w:val="nil"/>
              <w:bottom w:val="single" w:sz="4" w:space="0" w:color="auto"/>
              <w:right w:val="single" w:sz="4" w:space="0" w:color="auto"/>
            </w:tcBorders>
            <w:shd w:val="clear" w:color="auto" w:fill="auto"/>
            <w:noWrap/>
            <w:vAlign w:val="center"/>
            <w:hideMark/>
          </w:tcPr>
          <w:p w14:paraId="7F1136E4"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-13,4</w:t>
            </w:r>
          </w:p>
        </w:tc>
        <w:tc>
          <w:tcPr>
            <w:tcW w:w="700" w:type="dxa"/>
            <w:tcBorders>
              <w:top w:val="nil"/>
              <w:left w:val="nil"/>
              <w:bottom w:val="single" w:sz="4" w:space="0" w:color="auto"/>
              <w:right w:val="single" w:sz="4" w:space="0" w:color="auto"/>
            </w:tcBorders>
            <w:shd w:val="clear" w:color="auto" w:fill="auto"/>
            <w:noWrap/>
            <w:vAlign w:val="center"/>
            <w:hideMark/>
          </w:tcPr>
          <w:p w14:paraId="5273B8EC"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-10,9</w:t>
            </w:r>
          </w:p>
        </w:tc>
        <w:tc>
          <w:tcPr>
            <w:tcW w:w="700" w:type="dxa"/>
            <w:tcBorders>
              <w:top w:val="nil"/>
              <w:left w:val="nil"/>
              <w:bottom w:val="single" w:sz="4" w:space="0" w:color="auto"/>
              <w:right w:val="single" w:sz="4" w:space="0" w:color="auto"/>
            </w:tcBorders>
            <w:shd w:val="clear" w:color="auto" w:fill="auto"/>
            <w:noWrap/>
            <w:vAlign w:val="center"/>
            <w:hideMark/>
          </w:tcPr>
          <w:p w14:paraId="3C8A0562"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-8,6</w:t>
            </w:r>
          </w:p>
        </w:tc>
        <w:tc>
          <w:tcPr>
            <w:tcW w:w="700" w:type="dxa"/>
            <w:tcBorders>
              <w:top w:val="nil"/>
              <w:left w:val="nil"/>
              <w:bottom w:val="single" w:sz="4" w:space="0" w:color="auto"/>
              <w:right w:val="single" w:sz="4" w:space="0" w:color="auto"/>
            </w:tcBorders>
            <w:shd w:val="clear" w:color="auto" w:fill="auto"/>
            <w:noWrap/>
            <w:vAlign w:val="center"/>
            <w:hideMark/>
          </w:tcPr>
          <w:p w14:paraId="15FD5DAA"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-6,6</w:t>
            </w:r>
          </w:p>
        </w:tc>
        <w:tc>
          <w:tcPr>
            <w:tcW w:w="700" w:type="dxa"/>
            <w:tcBorders>
              <w:top w:val="nil"/>
              <w:left w:val="nil"/>
              <w:bottom w:val="single" w:sz="4" w:space="0" w:color="auto"/>
              <w:right w:val="single" w:sz="4" w:space="0" w:color="auto"/>
            </w:tcBorders>
            <w:shd w:val="clear" w:color="auto" w:fill="auto"/>
            <w:noWrap/>
            <w:vAlign w:val="center"/>
            <w:hideMark/>
          </w:tcPr>
          <w:p w14:paraId="33FF0D2A"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-4,8</w:t>
            </w:r>
          </w:p>
        </w:tc>
        <w:tc>
          <w:tcPr>
            <w:tcW w:w="700" w:type="dxa"/>
            <w:tcBorders>
              <w:top w:val="nil"/>
              <w:left w:val="nil"/>
              <w:bottom w:val="single" w:sz="4" w:space="0" w:color="auto"/>
              <w:right w:val="single" w:sz="4" w:space="0" w:color="auto"/>
            </w:tcBorders>
            <w:shd w:val="clear" w:color="auto" w:fill="auto"/>
            <w:noWrap/>
            <w:vAlign w:val="center"/>
            <w:hideMark/>
          </w:tcPr>
          <w:p w14:paraId="5AA8C5E5"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-3,2</w:t>
            </w:r>
          </w:p>
        </w:tc>
        <w:tc>
          <w:tcPr>
            <w:tcW w:w="700" w:type="dxa"/>
            <w:tcBorders>
              <w:top w:val="nil"/>
              <w:left w:val="nil"/>
              <w:bottom w:val="single" w:sz="4" w:space="0" w:color="auto"/>
              <w:right w:val="single" w:sz="4" w:space="0" w:color="auto"/>
            </w:tcBorders>
            <w:shd w:val="clear" w:color="auto" w:fill="auto"/>
            <w:noWrap/>
            <w:vAlign w:val="center"/>
            <w:hideMark/>
          </w:tcPr>
          <w:p w14:paraId="17BCC087"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-1,9</w:t>
            </w:r>
          </w:p>
        </w:tc>
      </w:tr>
      <w:tr w:rsidR="00E47E1A" w:rsidRPr="00E47E1A" w14:paraId="676A2A23" w14:textId="77777777" w:rsidTr="00E47E1A">
        <w:trPr>
          <w:trHeight w:val="288"/>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A4EE899"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 </w:t>
            </w:r>
          </w:p>
        </w:tc>
        <w:tc>
          <w:tcPr>
            <w:tcW w:w="700" w:type="dxa"/>
            <w:tcBorders>
              <w:top w:val="nil"/>
              <w:left w:val="nil"/>
              <w:bottom w:val="single" w:sz="4" w:space="0" w:color="auto"/>
              <w:right w:val="single" w:sz="4" w:space="0" w:color="auto"/>
            </w:tcBorders>
            <w:shd w:val="clear" w:color="auto" w:fill="auto"/>
            <w:noWrap/>
            <w:vAlign w:val="center"/>
            <w:hideMark/>
          </w:tcPr>
          <w:p w14:paraId="603DF3EC"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 </w:t>
            </w:r>
          </w:p>
        </w:tc>
        <w:tc>
          <w:tcPr>
            <w:tcW w:w="700" w:type="dxa"/>
            <w:tcBorders>
              <w:top w:val="nil"/>
              <w:left w:val="nil"/>
              <w:bottom w:val="single" w:sz="4" w:space="0" w:color="auto"/>
              <w:right w:val="single" w:sz="4" w:space="0" w:color="auto"/>
            </w:tcBorders>
            <w:shd w:val="clear" w:color="auto" w:fill="auto"/>
            <w:noWrap/>
            <w:vAlign w:val="center"/>
            <w:hideMark/>
          </w:tcPr>
          <w:p w14:paraId="43C3835E"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 </w:t>
            </w:r>
          </w:p>
        </w:tc>
        <w:tc>
          <w:tcPr>
            <w:tcW w:w="700" w:type="dxa"/>
            <w:tcBorders>
              <w:top w:val="nil"/>
              <w:left w:val="nil"/>
              <w:bottom w:val="single" w:sz="4" w:space="0" w:color="auto"/>
              <w:right w:val="single" w:sz="4" w:space="0" w:color="auto"/>
            </w:tcBorders>
            <w:shd w:val="clear" w:color="auto" w:fill="auto"/>
            <w:noWrap/>
            <w:vAlign w:val="center"/>
            <w:hideMark/>
          </w:tcPr>
          <w:p w14:paraId="3E9396CC"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 </w:t>
            </w:r>
          </w:p>
        </w:tc>
        <w:tc>
          <w:tcPr>
            <w:tcW w:w="700" w:type="dxa"/>
            <w:tcBorders>
              <w:top w:val="nil"/>
              <w:left w:val="nil"/>
              <w:bottom w:val="single" w:sz="4" w:space="0" w:color="auto"/>
              <w:right w:val="single" w:sz="4" w:space="0" w:color="auto"/>
            </w:tcBorders>
            <w:shd w:val="clear" w:color="auto" w:fill="auto"/>
            <w:noWrap/>
            <w:vAlign w:val="center"/>
            <w:hideMark/>
          </w:tcPr>
          <w:p w14:paraId="3F0CEE4B"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 </w:t>
            </w:r>
          </w:p>
        </w:tc>
        <w:tc>
          <w:tcPr>
            <w:tcW w:w="700" w:type="dxa"/>
            <w:tcBorders>
              <w:top w:val="nil"/>
              <w:left w:val="nil"/>
              <w:bottom w:val="single" w:sz="4" w:space="0" w:color="auto"/>
              <w:right w:val="single" w:sz="4" w:space="0" w:color="auto"/>
            </w:tcBorders>
            <w:shd w:val="clear" w:color="auto" w:fill="auto"/>
            <w:noWrap/>
            <w:vAlign w:val="center"/>
            <w:hideMark/>
          </w:tcPr>
          <w:p w14:paraId="6E1E9972"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 </w:t>
            </w:r>
          </w:p>
        </w:tc>
        <w:tc>
          <w:tcPr>
            <w:tcW w:w="700" w:type="dxa"/>
            <w:tcBorders>
              <w:top w:val="nil"/>
              <w:left w:val="nil"/>
              <w:bottom w:val="single" w:sz="4" w:space="0" w:color="auto"/>
              <w:right w:val="single" w:sz="4" w:space="0" w:color="auto"/>
            </w:tcBorders>
            <w:shd w:val="clear" w:color="auto" w:fill="auto"/>
            <w:noWrap/>
            <w:vAlign w:val="center"/>
            <w:hideMark/>
          </w:tcPr>
          <w:p w14:paraId="26F1A154"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 </w:t>
            </w:r>
          </w:p>
        </w:tc>
        <w:tc>
          <w:tcPr>
            <w:tcW w:w="700" w:type="dxa"/>
            <w:tcBorders>
              <w:top w:val="nil"/>
              <w:left w:val="nil"/>
              <w:bottom w:val="single" w:sz="4" w:space="0" w:color="auto"/>
              <w:right w:val="single" w:sz="4" w:space="0" w:color="auto"/>
            </w:tcBorders>
            <w:shd w:val="clear" w:color="auto" w:fill="auto"/>
            <w:noWrap/>
            <w:vAlign w:val="center"/>
            <w:hideMark/>
          </w:tcPr>
          <w:p w14:paraId="1EC6D12F"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 </w:t>
            </w:r>
          </w:p>
        </w:tc>
        <w:tc>
          <w:tcPr>
            <w:tcW w:w="700" w:type="dxa"/>
            <w:tcBorders>
              <w:top w:val="nil"/>
              <w:left w:val="nil"/>
              <w:bottom w:val="single" w:sz="4" w:space="0" w:color="auto"/>
              <w:right w:val="single" w:sz="4" w:space="0" w:color="auto"/>
            </w:tcBorders>
            <w:shd w:val="clear" w:color="auto" w:fill="auto"/>
            <w:noWrap/>
            <w:vAlign w:val="center"/>
            <w:hideMark/>
          </w:tcPr>
          <w:p w14:paraId="4C53BE5B"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 </w:t>
            </w:r>
          </w:p>
        </w:tc>
        <w:tc>
          <w:tcPr>
            <w:tcW w:w="700" w:type="dxa"/>
            <w:tcBorders>
              <w:top w:val="nil"/>
              <w:left w:val="nil"/>
              <w:bottom w:val="single" w:sz="4" w:space="0" w:color="auto"/>
              <w:right w:val="single" w:sz="4" w:space="0" w:color="auto"/>
            </w:tcBorders>
            <w:shd w:val="clear" w:color="auto" w:fill="auto"/>
            <w:noWrap/>
            <w:vAlign w:val="center"/>
            <w:hideMark/>
          </w:tcPr>
          <w:p w14:paraId="43BA916F"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 </w:t>
            </w:r>
          </w:p>
        </w:tc>
      </w:tr>
      <w:tr w:rsidR="00E47E1A" w:rsidRPr="00E47E1A" w14:paraId="737C7123" w14:textId="77777777" w:rsidTr="00E47E1A">
        <w:trPr>
          <w:trHeight w:val="288"/>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EDF603F"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Frecuencia (Hz)</w:t>
            </w:r>
          </w:p>
        </w:tc>
        <w:tc>
          <w:tcPr>
            <w:tcW w:w="700" w:type="dxa"/>
            <w:tcBorders>
              <w:top w:val="nil"/>
              <w:left w:val="nil"/>
              <w:bottom w:val="single" w:sz="4" w:space="0" w:color="auto"/>
              <w:right w:val="single" w:sz="4" w:space="0" w:color="auto"/>
            </w:tcBorders>
            <w:shd w:val="clear" w:color="auto" w:fill="auto"/>
            <w:noWrap/>
            <w:vAlign w:val="center"/>
            <w:hideMark/>
          </w:tcPr>
          <w:p w14:paraId="0A7C416F"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800</w:t>
            </w:r>
          </w:p>
        </w:tc>
        <w:tc>
          <w:tcPr>
            <w:tcW w:w="700" w:type="dxa"/>
            <w:tcBorders>
              <w:top w:val="nil"/>
              <w:left w:val="nil"/>
              <w:bottom w:val="single" w:sz="4" w:space="0" w:color="auto"/>
              <w:right w:val="single" w:sz="4" w:space="0" w:color="auto"/>
            </w:tcBorders>
            <w:shd w:val="clear" w:color="auto" w:fill="auto"/>
            <w:noWrap/>
            <w:vAlign w:val="center"/>
            <w:hideMark/>
          </w:tcPr>
          <w:p w14:paraId="5BE6EC34"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1.000</w:t>
            </w:r>
          </w:p>
        </w:tc>
        <w:tc>
          <w:tcPr>
            <w:tcW w:w="700" w:type="dxa"/>
            <w:tcBorders>
              <w:top w:val="nil"/>
              <w:left w:val="nil"/>
              <w:bottom w:val="single" w:sz="4" w:space="0" w:color="auto"/>
              <w:right w:val="single" w:sz="4" w:space="0" w:color="auto"/>
            </w:tcBorders>
            <w:shd w:val="clear" w:color="auto" w:fill="auto"/>
            <w:noWrap/>
            <w:vAlign w:val="center"/>
            <w:hideMark/>
          </w:tcPr>
          <w:p w14:paraId="45007F86"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1.250</w:t>
            </w:r>
          </w:p>
        </w:tc>
        <w:tc>
          <w:tcPr>
            <w:tcW w:w="700" w:type="dxa"/>
            <w:tcBorders>
              <w:top w:val="nil"/>
              <w:left w:val="nil"/>
              <w:bottom w:val="single" w:sz="4" w:space="0" w:color="auto"/>
              <w:right w:val="single" w:sz="4" w:space="0" w:color="auto"/>
            </w:tcBorders>
            <w:shd w:val="clear" w:color="auto" w:fill="auto"/>
            <w:noWrap/>
            <w:vAlign w:val="center"/>
            <w:hideMark/>
          </w:tcPr>
          <w:p w14:paraId="3F292274"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1.600</w:t>
            </w:r>
          </w:p>
        </w:tc>
        <w:tc>
          <w:tcPr>
            <w:tcW w:w="700" w:type="dxa"/>
            <w:tcBorders>
              <w:top w:val="nil"/>
              <w:left w:val="nil"/>
              <w:bottom w:val="single" w:sz="4" w:space="0" w:color="auto"/>
              <w:right w:val="single" w:sz="4" w:space="0" w:color="auto"/>
            </w:tcBorders>
            <w:shd w:val="clear" w:color="auto" w:fill="auto"/>
            <w:noWrap/>
            <w:vAlign w:val="center"/>
            <w:hideMark/>
          </w:tcPr>
          <w:p w14:paraId="281B8FC3"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2.000</w:t>
            </w:r>
          </w:p>
        </w:tc>
        <w:tc>
          <w:tcPr>
            <w:tcW w:w="700" w:type="dxa"/>
            <w:tcBorders>
              <w:top w:val="nil"/>
              <w:left w:val="nil"/>
              <w:bottom w:val="single" w:sz="4" w:space="0" w:color="auto"/>
              <w:right w:val="single" w:sz="4" w:space="0" w:color="auto"/>
            </w:tcBorders>
            <w:shd w:val="clear" w:color="auto" w:fill="auto"/>
            <w:noWrap/>
            <w:vAlign w:val="center"/>
            <w:hideMark/>
          </w:tcPr>
          <w:p w14:paraId="4466FA97"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2.500</w:t>
            </w:r>
          </w:p>
        </w:tc>
        <w:tc>
          <w:tcPr>
            <w:tcW w:w="700" w:type="dxa"/>
            <w:tcBorders>
              <w:top w:val="nil"/>
              <w:left w:val="nil"/>
              <w:bottom w:val="single" w:sz="4" w:space="0" w:color="auto"/>
              <w:right w:val="single" w:sz="4" w:space="0" w:color="auto"/>
            </w:tcBorders>
            <w:shd w:val="clear" w:color="auto" w:fill="auto"/>
            <w:noWrap/>
            <w:vAlign w:val="center"/>
            <w:hideMark/>
          </w:tcPr>
          <w:p w14:paraId="3DA84906"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3.150</w:t>
            </w:r>
          </w:p>
        </w:tc>
        <w:tc>
          <w:tcPr>
            <w:tcW w:w="700" w:type="dxa"/>
            <w:tcBorders>
              <w:top w:val="nil"/>
              <w:left w:val="nil"/>
              <w:bottom w:val="single" w:sz="4" w:space="0" w:color="auto"/>
              <w:right w:val="single" w:sz="4" w:space="0" w:color="auto"/>
            </w:tcBorders>
            <w:shd w:val="clear" w:color="auto" w:fill="auto"/>
            <w:noWrap/>
            <w:vAlign w:val="center"/>
            <w:hideMark/>
          </w:tcPr>
          <w:p w14:paraId="7C0640AB"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4.000</w:t>
            </w:r>
          </w:p>
        </w:tc>
        <w:tc>
          <w:tcPr>
            <w:tcW w:w="700" w:type="dxa"/>
            <w:tcBorders>
              <w:top w:val="nil"/>
              <w:left w:val="nil"/>
              <w:bottom w:val="single" w:sz="4" w:space="0" w:color="auto"/>
              <w:right w:val="single" w:sz="4" w:space="0" w:color="auto"/>
            </w:tcBorders>
            <w:shd w:val="clear" w:color="auto" w:fill="auto"/>
            <w:noWrap/>
            <w:vAlign w:val="center"/>
            <w:hideMark/>
          </w:tcPr>
          <w:p w14:paraId="16EBE9FE"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5.000</w:t>
            </w:r>
          </w:p>
        </w:tc>
      </w:tr>
      <w:tr w:rsidR="00E47E1A" w:rsidRPr="00E47E1A" w14:paraId="7DB9D326" w14:textId="77777777" w:rsidTr="00E47E1A">
        <w:trPr>
          <w:trHeight w:val="552"/>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080D50F1"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Curva de ponderación (</w:t>
            </w:r>
            <w:proofErr w:type="spellStart"/>
            <w:r w:rsidRPr="00E47E1A">
              <w:rPr>
                <w:rFonts w:ascii="Times New Roman" w:eastAsia="Times New Roman" w:hAnsi="Times New Roman" w:cs="Times New Roman"/>
                <w:color w:val="000000"/>
                <w:lang w:eastAsia="es-ES"/>
                <w14:ligatures w14:val="none"/>
              </w:rPr>
              <w:t>dBA</w:t>
            </w:r>
            <w:proofErr w:type="spellEnd"/>
            <w:r w:rsidRPr="00E47E1A">
              <w:rPr>
                <w:rFonts w:ascii="Times New Roman" w:eastAsia="Times New Roman" w:hAnsi="Times New Roman" w:cs="Times New Roman"/>
                <w:color w:val="000000"/>
                <w:lang w:eastAsia="es-ES"/>
                <w14:ligatures w14:val="none"/>
              </w:rPr>
              <w:t>)</w:t>
            </w:r>
          </w:p>
        </w:tc>
        <w:tc>
          <w:tcPr>
            <w:tcW w:w="700" w:type="dxa"/>
            <w:tcBorders>
              <w:top w:val="nil"/>
              <w:left w:val="nil"/>
              <w:bottom w:val="single" w:sz="4" w:space="0" w:color="auto"/>
              <w:right w:val="single" w:sz="4" w:space="0" w:color="auto"/>
            </w:tcBorders>
            <w:shd w:val="clear" w:color="auto" w:fill="auto"/>
            <w:noWrap/>
            <w:vAlign w:val="center"/>
            <w:hideMark/>
          </w:tcPr>
          <w:p w14:paraId="01E6DF88"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-0,8</w:t>
            </w:r>
          </w:p>
        </w:tc>
        <w:tc>
          <w:tcPr>
            <w:tcW w:w="700" w:type="dxa"/>
            <w:tcBorders>
              <w:top w:val="nil"/>
              <w:left w:val="nil"/>
              <w:bottom w:val="single" w:sz="4" w:space="0" w:color="auto"/>
              <w:right w:val="single" w:sz="4" w:space="0" w:color="auto"/>
            </w:tcBorders>
            <w:shd w:val="clear" w:color="auto" w:fill="auto"/>
            <w:noWrap/>
            <w:vAlign w:val="center"/>
            <w:hideMark/>
          </w:tcPr>
          <w:p w14:paraId="111A1DCE"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0,0</w:t>
            </w:r>
          </w:p>
        </w:tc>
        <w:tc>
          <w:tcPr>
            <w:tcW w:w="700" w:type="dxa"/>
            <w:tcBorders>
              <w:top w:val="nil"/>
              <w:left w:val="nil"/>
              <w:bottom w:val="single" w:sz="4" w:space="0" w:color="auto"/>
              <w:right w:val="single" w:sz="4" w:space="0" w:color="auto"/>
            </w:tcBorders>
            <w:shd w:val="clear" w:color="auto" w:fill="auto"/>
            <w:noWrap/>
            <w:vAlign w:val="center"/>
            <w:hideMark/>
          </w:tcPr>
          <w:p w14:paraId="31F6208F"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0,6</w:t>
            </w:r>
          </w:p>
        </w:tc>
        <w:tc>
          <w:tcPr>
            <w:tcW w:w="700" w:type="dxa"/>
            <w:tcBorders>
              <w:top w:val="nil"/>
              <w:left w:val="nil"/>
              <w:bottom w:val="single" w:sz="4" w:space="0" w:color="auto"/>
              <w:right w:val="single" w:sz="4" w:space="0" w:color="auto"/>
            </w:tcBorders>
            <w:shd w:val="clear" w:color="auto" w:fill="auto"/>
            <w:noWrap/>
            <w:vAlign w:val="center"/>
            <w:hideMark/>
          </w:tcPr>
          <w:p w14:paraId="4A4BEBAF"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1,0</w:t>
            </w:r>
          </w:p>
        </w:tc>
        <w:tc>
          <w:tcPr>
            <w:tcW w:w="700" w:type="dxa"/>
            <w:tcBorders>
              <w:top w:val="nil"/>
              <w:left w:val="nil"/>
              <w:bottom w:val="single" w:sz="4" w:space="0" w:color="auto"/>
              <w:right w:val="single" w:sz="4" w:space="0" w:color="auto"/>
            </w:tcBorders>
            <w:shd w:val="clear" w:color="auto" w:fill="auto"/>
            <w:noWrap/>
            <w:vAlign w:val="center"/>
            <w:hideMark/>
          </w:tcPr>
          <w:p w14:paraId="5D9D7B54"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1,2</w:t>
            </w:r>
          </w:p>
        </w:tc>
        <w:tc>
          <w:tcPr>
            <w:tcW w:w="700" w:type="dxa"/>
            <w:tcBorders>
              <w:top w:val="nil"/>
              <w:left w:val="nil"/>
              <w:bottom w:val="single" w:sz="4" w:space="0" w:color="auto"/>
              <w:right w:val="single" w:sz="4" w:space="0" w:color="auto"/>
            </w:tcBorders>
            <w:shd w:val="clear" w:color="auto" w:fill="auto"/>
            <w:noWrap/>
            <w:vAlign w:val="center"/>
            <w:hideMark/>
          </w:tcPr>
          <w:p w14:paraId="7D912EC9"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1,3</w:t>
            </w:r>
          </w:p>
        </w:tc>
        <w:tc>
          <w:tcPr>
            <w:tcW w:w="700" w:type="dxa"/>
            <w:tcBorders>
              <w:top w:val="nil"/>
              <w:left w:val="nil"/>
              <w:bottom w:val="single" w:sz="4" w:space="0" w:color="auto"/>
              <w:right w:val="single" w:sz="4" w:space="0" w:color="auto"/>
            </w:tcBorders>
            <w:shd w:val="clear" w:color="auto" w:fill="auto"/>
            <w:noWrap/>
            <w:vAlign w:val="center"/>
            <w:hideMark/>
          </w:tcPr>
          <w:p w14:paraId="45BCDD17"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1,2</w:t>
            </w:r>
          </w:p>
        </w:tc>
        <w:tc>
          <w:tcPr>
            <w:tcW w:w="700" w:type="dxa"/>
            <w:tcBorders>
              <w:top w:val="nil"/>
              <w:left w:val="nil"/>
              <w:bottom w:val="single" w:sz="4" w:space="0" w:color="auto"/>
              <w:right w:val="single" w:sz="4" w:space="0" w:color="auto"/>
            </w:tcBorders>
            <w:shd w:val="clear" w:color="auto" w:fill="auto"/>
            <w:noWrap/>
            <w:vAlign w:val="center"/>
            <w:hideMark/>
          </w:tcPr>
          <w:p w14:paraId="797A8FCC"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1,0</w:t>
            </w:r>
          </w:p>
        </w:tc>
        <w:tc>
          <w:tcPr>
            <w:tcW w:w="700" w:type="dxa"/>
            <w:tcBorders>
              <w:top w:val="nil"/>
              <w:left w:val="nil"/>
              <w:bottom w:val="single" w:sz="4" w:space="0" w:color="auto"/>
              <w:right w:val="single" w:sz="4" w:space="0" w:color="auto"/>
            </w:tcBorders>
            <w:shd w:val="clear" w:color="auto" w:fill="auto"/>
            <w:noWrap/>
            <w:vAlign w:val="center"/>
            <w:hideMark/>
          </w:tcPr>
          <w:p w14:paraId="6DEB7A25" w14:textId="77777777" w:rsidR="00E47E1A" w:rsidRPr="00E47E1A" w:rsidRDefault="00E47E1A" w:rsidP="00E47E1A">
            <w:pPr>
              <w:spacing w:before="0" w:after="0" w:line="240" w:lineRule="auto"/>
              <w:jc w:val="center"/>
              <w:rPr>
                <w:rFonts w:ascii="Times New Roman" w:eastAsia="Times New Roman" w:hAnsi="Times New Roman" w:cs="Times New Roman"/>
                <w:color w:val="000000"/>
                <w:lang w:eastAsia="es-ES"/>
                <w14:ligatures w14:val="none"/>
              </w:rPr>
            </w:pPr>
            <w:r w:rsidRPr="00E47E1A">
              <w:rPr>
                <w:rFonts w:ascii="Times New Roman" w:eastAsia="Times New Roman" w:hAnsi="Times New Roman" w:cs="Times New Roman"/>
                <w:color w:val="000000"/>
                <w:lang w:eastAsia="es-ES"/>
                <w14:ligatures w14:val="none"/>
              </w:rPr>
              <w:t>0,5</w:t>
            </w:r>
          </w:p>
        </w:tc>
      </w:tr>
    </w:tbl>
    <w:p w14:paraId="65159478" w14:textId="77777777" w:rsidR="00E47E1A" w:rsidRDefault="00E47E1A" w:rsidP="004E3F02">
      <w:pPr>
        <w:pStyle w:val="Estilo1"/>
        <w:spacing w:before="200" w:after="200"/>
        <w:rPr>
          <w:rFonts w:ascii="Times New Roman" w:hAnsi="Times New Roman" w:cs="Times New Roman"/>
          <w:color w:val="000000"/>
          <w:sz w:val="24"/>
          <w:szCs w:val="24"/>
        </w:rPr>
      </w:pPr>
    </w:p>
    <w:p w14:paraId="37FB2CAB" w14:textId="55A63A40" w:rsidR="00A6297C" w:rsidRDefault="00A6297C" w:rsidP="004E3F02">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color w:val="000000"/>
          <w:sz w:val="24"/>
          <w:szCs w:val="24"/>
        </w:rPr>
        <w:lastRenderedPageBreak/>
        <w:t>b) Para determinar el nivel sonoro ponderado A de instalación y ajuste del limitador-controlador acústico (NSIAL), toma los valores siguientes:</w:t>
      </w:r>
    </w:p>
    <w:tbl>
      <w:tblPr>
        <w:tblW w:w="9140" w:type="dxa"/>
        <w:tblCellMar>
          <w:left w:w="70" w:type="dxa"/>
          <w:right w:w="70" w:type="dxa"/>
        </w:tblCellMar>
        <w:tblLook w:val="04A0" w:firstRow="1" w:lastRow="0" w:firstColumn="1" w:lastColumn="0" w:noHBand="0" w:noVBand="1"/>
      </w:tblPr>
      <w:tblGrid>
        <w:gridCol w:w="2140"/>
        <w:gridCol w:w="700"/>
        <w:gridCol w:w="700"/>
        <w:gridCol w:w="700"/>
        <w:gridCol w:w="700"/>
        <w:gridCol w:w="700"/>
        <w:gridCol w:w="700"/>
        <w:gridCol w:w="700"/>
        <w:gridCol w:w="700"/>
        <w:gridCol w:w="700"/>
        <w:gridCol w:w="700"/>
      </w:tblGrid>
      <w:tr w:rsidR="00945DC3" w:rsidRPr="00945DC3" w14:paraId="550581FD" w14:textId="77777777" w:rsidTr="00945DC3">
        <w:trPr>
          <w:trHeight w:val="288"/>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D6D5C"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Frecuencia (Hz)</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1792C14"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63</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109CC3F3"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80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915FC18"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100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0B75151D"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125</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25B7BEB2"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160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151B7F3E"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200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5AED396D"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250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59C0E483"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315</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580B4E3B"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400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44C502B4"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500</w:t>
            </w:r>
          </w:p>
        </w:tc>
      </w:tr>
      <w:tr w:rsidR="00945DC3" w:rsidRPr="00945DC3" w14:paraId="426A8BFC" w14:textId="77777777" w:rsidTr="00945DC3">
        <w:trPr>
          <w:trHeight w:val="552"/>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4F58B581"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Curva de ponderación (</w:t>
            </w:r>
            <w:proofErr w:type="spellStart"/>
            <w:r w:rsidRPr="00945DC3">
              <w:rPr>
                <w:rFonts w:ascii="Times New Roman" w:eastAsia="Times New Roman" w:hAnsi="Times New Roman" w:cs="Times New Roman"/>
                <w:color w:val="000000"/>
                <w:lang w:eastAsia="es-ES"/>
                <w14:ligatures w14:val="none"/>
              </w:rPr>
              <w:t>dBA</w:t>
            </w:r>
            <w:proofErr w:type="spellEnd"/>
            <w:r w:rsidRPr="00945DC3">
              <w:rPr>
                <w:rFonts w:ascii="Times New Roman" w:eastAsia="Times New Roman" w:hAnsi="Times New Roman" w:cs="Times New Roman"/>
                <w:color w:val="000000"/>
                <w:lang w:eastAsia="es-ES"/>
                <w14:ligatures w14:val="none"/>
              </w:rPr>
              <w:t>)</w:t>
            </w:r>
          </w:p>
        </w:tc>
        <w:tc>
          <w:tcPr>
            <w:tcW w:w="700" w:type="dxa"/>
            <w:tcBorders>
              <w:top w:val="nil"/>
              <w:left w:val="nil"/>
              <w:bottom w:val="single" w:sz="4" w:space="0" w:color="auto"/>
              <w:right w:val="single" w:sz="4" w:space="0" w:color="auto"/>
            </w:tcBorders>
            <w:shd w:val="clear" w:color="auto" w:fill="auto"/>
            <w:noWrap/>
            <w:vAlign w:val="center"/>
            <w:hideMark/>
          </w:tcPr>
          <w:p w14:paraId="1937F39A"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-26,2</w:t>
            </w:r>
          </w:p>
        </w:tc>
        <w:tc>
          <w:tcPr>
            <w:tcW w:w="700" w:type="dxa"/>
            <w:tcBorders>
              <w:top w:val="nil"/>
              <w:left w:val="nil"/>
              <w:bottom w:val="single" w:sz="4" w:space="0" w:color="auto"/>
              <w:right w:val="single" w:sz="4" w:space="0" w:color="auto"/>
            </w:tcBorders>
            <w:shd w:val="clear" w:color="auto" w:fill="auto"/>
            <w:noWrap/>
            <w:vAlign w:val="center"/>
            <w:hideMark/>
          </w:tcPr>
          <w:p w14:paraId="12891757"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-22,5</w:t>
            </w:r>
          </w:p>
        </w:tc>
        <w:tc>
          <w:tcPr>
            <w:tcW w:w="700" w:type="dxa"/>
            <w:tcBorders>
              <w:top w:val="nil"/>
              <w:left w:val="nil"/>
              <w:bottom w:val="single" w:sz="4" w:space="0" w:color="auto"/>
              <w:right w:val="single" w:sz="4" w:space="0" w:color="auto"/>
            </w:tcBorders>
            <w:shd w:val="clear" w:color="auto" w:fill="auto"/>
            <w:noWrap/>
            <w:vAlign w:val="center"/>
            <w:hideMark/>
          </w:tcPr>
          <w:p w14:paraId="30512785"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-19,1</w:t>
            </w:r>
          </w:p>
        </w:tc>
        <w:tc>
          <w:tcPr>
            <w:tcW w:w="700" w:type="dxa"/>
            <w:tcBorders>
              <w:top w:val="nil"/>
              <w:left w:val="nil"/>
              <w:bottom w:val="single" w:sz="4" w:space="0" w:color="auto"/>
              <w:right w:val="single" w:sz="4" w:space="0" w:color="auto"/>
            </w:tcBorders>
            <w:shd w:val="clear" w:color="auto" w:fill="auto"/>
            <w:noWrap/>
            <w:vAlign w:val="center"/>
            <w:hideMark/>
          </w:tcPr>
          <w:p w14:paraId="3465D4A9"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-16,1</w:t>
            </w:r>
          </w:p>
        </w:tc>
        <w:tc>
          <w:tcPr>
            <w:tcW w:w="700" w:type="dxa"/>
            <w:tcBorders>
              <w:top w:val="nil"/>
              <w:left w:val="nil"/>
              <w:bottom w:val="single" w:sz="4" w:space="0" w:color="auto"/>
              <w:right w:val="single" w:sz="4" w:space="0" w:color="auto"/>
            </w:tcBorders>
            <w:shd w:val="clear" w:color="auto" w:fill="auto"/>
            <w:noWrap/>
            <w:vAlign w:val="center"/>
            <w:hideMark/>
          </w:tcPr>
          <w:p w14:paraId="419C2BD7"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-13,4</w:t>
            </w:r>
          </w:p>
        </w:tc>
        <w:tc>
          <w:tcPr>
            <w:tcW w:w="700" w:type="dxa"/>
            <w:tcBorders>
              <w:top w:val="nil"/>
              <w:left w:val="nil"/>
              <w:bottom w:val="single" w:sz="4" w:space="0" w:color="auto"/>
              <w:right w:val="single" w:sz="4" w:space="0" w:color="auto"/>
            </w:tcBorders>
            <w:shd w:val="clear" w:color="auto" w:fill="auto"/>
            <w:noWrap/>
            <w:vAlign w:val="center"/>
            <w:hideMark/>
          </w:tcPr>
          <w:p w14:paraId="1F4AA5C8"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-10,9</w:t>
            </w:r>
          </w:p>
        </w:tc>
        <w:tc>
          <w:tcPr>
            <w:tcW w:w="700" w:type="dxa"/>
            <w:tcBorders>
              <w:top w:val="nil"/>
              <w:left w:val="nil"/>
              <w:bottom w:val="single" w:sz="4" w:space="0" w:color="auto"/>
              <w:right w:val="single" w:sz="4" w:space="0" w:color="auto"/>
            </w:tcBorders>
            <w:shd w:val="clear" w:color="auto" w:fill="auto"/>
            <w:noWrap/>
            <w:vAlign w:val="center"/>
            <w:hideMark/>
          </w:tcPr>
          <w:p w14:paraId="0DC6B8DC"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-8,6</w:t>
            </w:r>
          </w:p>
        </w:tc>
        <w:tc>
          <w:tcPr>
            <w:tcW w:w="700" w:type="dxa"/>
            <w:tcBorders>
              <w:top w:val="nil"/>
              <w:left w:val="nil"/>
              <w:bottom w:val="single" w:sz="4" w:space="0" w:color="auto"/>
              <w:right w:val="single" w:sz="4" w:space="0" w:color="auto"/>
            </w:tcBorders>
            <w:shd w:val="clear" w:color="auto" w:fill="auto"/>
            <w:noWrap/>
            <w:vAlign w:val="center"/>
            <w:hideMark/>
          </w:tcPr>
          <w:p w14:paraId="1BAE832D"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-6,6</w:t>
            </w:r>
          </w:p>
        </w:tc>
        <w:tc>
          <w:tcPr>
            <w:tcW w:w="700" w:type="dxa"/>
            <w:tcBorders>
              <w:top w:val="nil"/>
              <w:left w:val="nil"/>
              <w:bottom w:val="single" w:sz="4" w:space="0" w:color="auto"/>
              <w:right w:val="single" w:sz="4" w:space="0" w:color="auto"/>
            </w:tcBorders>
            <w:shd w:val="clear" w:color="auto" w:fill="auto"/>
            <w:noWrap/>
            <w:vAlign w:val="center"/>
            <w:hideMark/>
          </w:tcPr>
          <w:p w14:paraId="10EB121E"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-4,8</w:t>
            </w:r>
          </w:p>
        </w:tc>
        <w:tc>
          <w:tcPr>
            <w:tcW w:w="700" w:type="dxa"/>
            <w:tcBorders>
              <w:top w:val="nil"/>
              <w:left w:val="nil"/>
              <w:bottom w:val="single" w:sz="4" w:space="0" w:color="auto"/>
              <w:right w:val="single" w:sz="4" w:space="0" w:color="auto"/>
            </w:tcBorders>
            <w:shd w:val="clear" w:color="auto" w:fill="auto"/>
            <w:noWrap/>
            <w:vAlign w:val="center"/>
            <w:hideMark/>
          </w:tcPr>
          <w:p w14:paraId="2522C84A"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-3,2</w:t>
            </w:r>
          </w:p>
        </w:tc>
      </w:tr>
      <w:tr w:rsidR="00945DC3" w:rsidRPr="00945DC3" w14:paraId="1095C825" w14:textId="77777777" w:rsidTr="00945DC3">
        <w:trPr>
          <w:trHeight w:val="288"/>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C8918DE"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 </w:t>
            </w:r>
          </w:p>
        </w:tc>
        <w:tc>
          <w:tcPr>
            <w:tcW w:w="700" w:type="dxa"/>
            <w:tcBorders>
              <w:top w:val="nil"/>
              <w:left w:val="nil"/>
              <w:bottom w:val="single" w:sz="4" w:space="0" w:color="auto"/>
              <w:right w:val="single" w:sz="4" w:space="0" w:color="auto"/>
            </w:tcBorders>
            <w:shd w:val="clear" w:color="auto" w:fill="auto"/>
            <w:noWrap/>
            <w:vAlign w:val="center"/>
            <w:hideMark/>
          </w:tcPr>
          <w:p w14:paraId="028BB9B8"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 </w:t>
            </w:r>
          </w:p>
        </w:tc>
        <w:tc>
          <w:tcPr>
            <w:tcW w:w="700" w:type="dxa"/>
            <w:tcBorders>
              <w:top w:val="nil"/>
              <w:left w:val="nil"/>
              <w:bottom w:val="single" w:sz="4" w:space="0" w:color="auto"/>
              <w:right w:val="single" w:sz="4" w:space="0" w:color="auto"/>
            </w:tcBorders>
            <w:shd w:val="clear" w:color="auto" w:fill="auto"/>
            <w:noWrap/>
            <w:vAlign w:val="center"/>
            <w:hideMark/>
          </w:tcPr>
          <w:p w14:paraId="45607CBE"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 </w:t>
            </w:r>
          </w:p>
        </w:tc>
        <w:tc>
          <w:tcPr>
            <w:tcW w:w="700" w:type="dxa"/>
            <w:tcBorders>
              <w:top w:val="nil"/>
              <w:left w:val="nil"/>
              <w:bottom w:val="single" w:sz="4" w:space="0" w:color="auto"/>
              <w:right w:val="single" w:sz="4" w:space="0" w:color="auto"/>
            </w:tcBorders>
            <w:shd w:val="clear" w:color="auto" w:fill="auto"/>
            <w:noWrap/>
            <w:vAlign w:val="center"/>
            <w:hideMark/>
          </w:tcPr>
          <w:p w14:paraId="219E6802"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 </w:t>
            </w:r>
          </w:p>
        </w:tc>
        <w:tc>
          <w:tcPr>
            <w:tcW w:w="700" w:type="dxa"/>
            <w:tcBorders>
              <w:top w:val="nil"/>
              <w:left w:val="nil"/>
              <w:bottom w:val="single" w:sz="4" w:space="0" w:color="auto"/>
              <w:right w:val="single" w:sz="4" w:space="0" w:color="auto"/>
            </w:tcBorders>
            <w:shd w:val="clear" w:color="auto" w:fill="auto"/>
            <w:noWrap/>
            <w:vAlign w:val="center"/>
            <w:hideMark/>
          </w:tcPr>
          <w:p w14:paraId="5508DD2E"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 </w:t>
            </w:r>
          </w:p>
        </w:tc>
        <w:tc>
          <w:tcPr>
            <w:tcW w:w="700" w:type="dxa"/>
            <w:tcBorders>
              <w:top w:val="nil"/>
              <w:left w:val="nil"/>
              <w:bottom w:val="single" w:sz="4" w:space="0" w:color="auto"/>
              <w:right w:val="single" w:sz="4" w:space="0" w:color="auto"/>
            </w:tcBorders>
            <w:shd w:val="clear" w:color="auto" w:fill="auto"/>
            <w:noWrap/>
            <w:vAlign w:val="center"/>
            <w:hideMark/>
          </w:tcPr>
          <w:p w14:paraId="501A205A"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 </w:t>
            </w:r>
          </w:p>
        </w:tc>
        <w:tc>
          <w:tcPr>
            <w:tcW w:w="700" w:type="dxa"/>
            <w:tcBorders>
              <w:top w:val="nil"/>
              <w:left w:val="nil"/>
              <w:bottom w:val="single" w:sz="4" w:space="0" w:color="auto"/>
              <w:right w:val="single" w:sz="4" w:space="0" w:color="auto"/>
            </w:tcBorders>
            <w:shd w:val="clear" w:color="auto" w:fill="auto"/>
            <w:noWrap/>
            <w:vAlign w:val="center"/>
            <w:hideMark/>
          </w:tcPr>
          <w:p w14:paraId="1557F317"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 </w:t>
            </w:r>
          </w:p>
        </w:tc>
        <w:tc>
          <w:tcPr>
            <w:tcW w:w="700" w:type="dxa"/>
            <w:tcBorders>
              <w:top w:val="nil"/>
              <w:left w:val="nil"/>
              <w:bottom w:val="single" w:sz="4" w:space="0" w:color="auto"/>
              <w:right w:val="single" w:sz="4" w:space="0" w:color="auto"/>
            </w:tcBorders>
            <w:shd w:val="clear" w:color="auto" w:fill="auto"/>
            <w:noWrap/>
            <w:vAlign w:val="center"/>
            <w:hideMark/>
          </w:tcPr>
          <w:p w14:paraId="6A157D63"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 </w:t>
            </w:r>
          </w:p>
        </w:tc>
        <w:tc>
          <w:tcPr>
            <w:tcW w:w="700" w:type="dxa"/>
            <w:tcBorders>
              <w:top w:val="nil"/>
              <w:left w:val="nil"/>
              <w:bottom w:val="single" w:sz="4" w:space="0" w:color="auto"/>
              <w:right w:val="single" w:sz="4" w:space="0" w:color="auto"/>
            </w:tcBorders>
            <w:shd w:val="clear" w:color="auto" w:fill="auto"/>
            <w:noWrap/>
            <w:vAlign w:val="center"/>
            <w:hideMark/>
          </w:tcPr>
          <w:p w14:paraId="55783C78"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 </w:t>
            </w:r>
          </w:p>
        </w:tc>
        <w:tc>
          <w:tcPr>
            <w:tcW w:w="700" w:type="dxa"/>
            <w:tcBorders>
              <w:top w:val="nil"/>
              <w:left w:val="nil"/>
              <w:bottom w:val="single" w:sz="4" w:space="0" w:color="auto"/>
              <w:right w:val="single" w:sz="4" w:space="0" w:color="auto"/>
            </w:tcBorders>
            <w:shd w:val="clear" w:color="auto" w:fill="auto"/>
            <w:noWrap/>
            <w:vAlign w:val="center"/>
            <w:hideMark/>
          </w:tcPr>
          <w:p w14:paraId="00B4AAF4"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 </w:t>
            </w:r>
          </w:p>
        </w:tc>
        <w:tc>
          <w:tcPr>
            <w:tcW w:w="700" w:type="dxa"/>
            <w:tcBorders>
              <w:top w:val="nil"/>
              <w:left w:val="nil"/>
              <w:bottom w:val="single" w:sz="4" w:space="0" w:color="auto"/>
              <w:right w:val="single" w:sz="4" w:space="0" w:color="auto"/>
            </w:tcBorders>
            <w:shd w:val="clear" w:color="auto" w:fill="auto"/>
            <w:noWrap/>
            <w:vAlign w:val="center"/>
            <w:hideMark/>
          </w:tcPr>
          <w:p w14:paraId="2E0F0093"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 </w:t>
            </w:r>
          </w:p>
        </w:tc>
      </w:tr>
      <w:tr w:rsidR="00945DC3" w:rsidRPr="00945DC3" w14:paraId="3A6F2582" w14:textId="77777777" w:rsidTr="00945DC3">
        <w:trPr>
          <w:trHeight w:val="288"/>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D2BF005"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Frecuencia (Hz)</w:t>
            </w:r>
          </w:p>
        </w:tc>
        <w:tc>
          <w:tcPr>
            <w:tcW w:w="700" w:type="dxa"/>
            <w:tcBorders>
              <w:top w:val="nil"/>
              <w:left w:val="nil"/>
              <w:bottom w:val="single" w:sz="4" w:space="0" w:color="auto"/>
              <w:right w:val="single" w:sz="4" w:space="0" w:color="auto"/>
            </w:tcBorders>
            <w:shd w:val="clear" w:color="auto" w:fill="auto"/>
            <w:noWrap/>
            <w:vAlign w:val="center"/>
            <w:hideMark/>
          </w:tcPr>
          <w:p w14:paraId="79A3D754"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630</w:t>
            </w:r>
          </w:p>
        </w:tc>
        <w:tc>
          <w:tcPr>
            <w:tcW w:w="700" w:type="dxa"/>
            <w:tcBorders>
              <w:top w:val="nil"/>
              <w:left w:val="nil"/>
              <w:bottom w:val="single" w:sz="4" w:space="0" w:color="auto"/>
              <w:right w:val="single" w:sz="4" w:space="0" w:color="auto"/>
            </w:tcBorders>
            <w:shd w:val="clear" w:color="auto" w:fill="auto"/>
            <w:noWrap/>
            <w:vAlign w:val="center"/>
            <w:hideMark/>
          </w:tcPr>
          <w:p w14:paraId="1D889C11"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800</w:t>
            </w:r>
          </w:p>
        </w:tc>
        <w:tc>
          <w:tcPr>
            <w:tcW w:w="700" w:type="dxa"/>
            <w:tcBorders>
              <w:top w:val="nil"/>
              <w:left w:val="nil"/>
              <w:bottom w:val="single" w:sz="4" w:space="0" w:color="auto"/>
              <w:right w:val="single" w:sz="4" w:space="0" w:color="auto"/>
            </w:tcBorders>
            <w:shd w:val="clear" w:color="auto" w:fill="auto"/>
            <w:noWrap/>
            <w:vAlign w:val="center"/>
            <w:hideMark/>
          </w:tcPr>
          <w:p w14:paraId="1CD7F70B"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1.000</w:t>
            </w:r>
          </w:p>
        </w:tc>
        <w:tc>
          <w:tcPr>
            <w:tcW w:w="700" w:type="dxa"/>
            <w:tcBorders>
              <w:top w:val="nil"/>
              <w:left w:val="nil"/>
              <w:bottom w:val="single" w:sz="4" w:space="0" w:color="auto"/>
              <w:right w:val="single" w:sz="4" w:space="0" w:color="auto"/>
            </w:tcBorders>
            <w:shd w:val="clear" w:color="auto" w:fill="auto"/>
            <w:noWrap/>
            <w:vAlign w:val="center"/>
            <w:hideMark/>
          </w:tcPr>
          <w:p w14:paraId="242D23AF"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1.250</w:t>
            </w:r>
          </w:p>
        </w:tc>
        <w:tc>
          <w:tcPr>
            <w:tcW w:w="700" w:type="dxa"/>
            <w:tcBorders>
              <w:top w:val="nil"/>
              <w:left w:val="nil"/>
              <w:bottom w:val="single" w:sz="4" w:space="0" w:color="auto"/>
              <w:right w:val="single" w:sz="4" w:space="0" w:color="auto"/>
            </w:tcBorders>
            <w:shd w:val="clear" w:color="auto" w:fill="auto"/>
            <w:noWrap/>
            <w:vAlign w:val="center"/>
            <w:hideMark/>
          </w:tcPr>
          <w:p w14:paraId="72BEBD5F"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1.600</w:t>
            </w:r>
          </w:p>
        </w:tc>
        <w:tc>
          <w:tcPr>
            <w:tcW w:w="700" w:type="dxa"/>
            <w:tcBorders>
              <w:top w:val="nil"/>
              <w:left w:val="nil"/>
              <w:bottom w:val="single" w:sz="4" w:space="0" w:color="auto"/>
              <w:right w:val="single" w:sz="4" w:space="0" w:color="auto"/>
            </w:tcBorders>
            <w:shd w:val="clear" w:color="auto" w:fill="auto"/>
            <w:noWrap/>
            <w:vAlign w:val="center"/>
            <w:hideMark/>
          </w:tcPr>
          <w:p w14:paraId="1A73ECAF"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2.000</w:t>
            </w:r>
          </w:p>
        </w:tc>
        <w:tc>
          <w:tcPr>
            <w:tcW w:w="700" w:type="dxa"/>
            <w:tcBorders>
              <w:top w:val="nil"/>
              <w:left w:val="nil"/>
              <w:bottom w:val="single" w:sz="4" w:space="0" w:color="auto"/>
              <w:right w:val="single" w:sz="4" w:space="0" w:color="auto"/>
            </w:tcBorders>
            <w:shd w:val="clear" w:color="auto" w:fill="auto"/>
            <w:noWrap/>
            <w:vAlign w:val="center"/>
            <w:hideMark/>
          </w:tcPr>
          <w:p w14:paraId="6C4BC31F"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2.500</w:t>
            </w:r>
          </w:p>
        </w:tc>
        <w:tc>
          <w:tcPr>
            <w:tcW w:w="700" w:type="dxa"/>
            <w:tcBorders>
              <w:top w:val="nil"/>
              <w:left w:val="nil"/>
              <w:bottom w:val="single" w:sz="4" w:space="0" w:color="auto"/>
              <w:right w:val="single" w:sz="4" w:space="0" w:color="auto"/>
            </w:tcBorders>
            <w:shd w:val="clear" w:color="auto" w:fill="auto"/>
            <w:noWrap/>
            <w:vAlign w:val="center"/>
            <w:hideMark/>
          </w:tcPr>
          <w:p w14:paraId="31897C64"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3.150</w:t>
            </w:r>
          </w:p>
        </w:tc>
        <w:tc>
          <w:tcPr>
            <w:tcW w:w="700" w:type="dxa"/>
            <w:tcBorders>
              <w:top w:val="nil"/>
              <w:left w:val="nil"/>
              <w:bottom w:val="single" w:sz="4" w:space="0" w:color="auto"/>
              <w:right w:val="single" w:sz="4" w:space="0" w:color="auto"/>
            </w:tcBorders>
            <w:shd w:val="clear" w:color="auto" w:fill="auto"/>
            <w:noWrap/>
            <w:vAlign w:val="center"/>
            <w:hideMark/>
          </w:tcPr>
          <w:p w14:paraId="0275D330"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4.000</w:t>
            </w:r>
          </w:p>
        </w:tc>
        <w:tc>
          <w:tcPr>
            <w:tcW w:w="700" w:type="dxa"/>
            <w:tcBorders>
              <w:top w:val="nil"/>
              <w:left w:val="nil"/>
              <w:bottom w:val="single" w:sz="4" w:space="0" w:color="auto"/>
              <w:right w:val="single" w:sz="4" w:space="0" w:color="auto"/>
            </w:tcBorders>
            <w:shd w:val="clear" w:color="auto" w:fill="auto"/>
            <w:noWrap/>
            <w:vAlign w:val="center"/>
            <w:hideMark/>
          </w:tcPr>
          <w:p w14:paraId="7D337728"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5.000</w:t>
            </w:r>
          </w:p>
        </w:tc>
      </w:tr>
      <w:tr w:rsidR="00945DC3" w:rsidRPr="00945DC3" w14:paraId="5FA2EC34" w14:textId="77777777" w:rsidTr="00945DC3">
        <w:trPr>
          <w:trHeight w:val="552"/>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54FEACE4"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Curva de ponderación (</w:t>
            </w:r>
            <w:proofErr w:type="spellStart"/>
            <w:r w:rsidRPr="00945DC3">
              <w:rPr>
                <w:rFonts w:ascii="Times New Roman" w:eastAsia="Times New Roman" w:hAnsi="Times New Roman" w:cs="Times New Roman"/>
                <w:color w:val="000000"/>
                <w:lang w:eastAsia="es-ES"/>
                <w14:ligatures w14:val="none"/>
              </w:rPr>
              <w:t>dBA</w:t>
            </w:r>
            <w:proofErr w:type="spellEnd"/>
            <w:r w:rsidRPr="00945DC3">
              <w:rPr>
                <w:rFonts w:ascii="Times New Roman" w:eastAsia="Times New Roman" w:hAnsi="Times New Roman" w:cs="Times New Roman"/>
                <w:color w:val="000000"/>
                <w:lang w:eastAsia="es-ES"/>
                <w14:ligatures w14:val="none"/>
              </w:rPr>
              <w:t>)</w:t>
            </w:r>
          </w:p>
        </w:tc>
        <w:tc>
          <w:tcPr>
            <w:tcW w:w="700" w:type="dxa"/>
            <w:tcBorders>
              <w:top w:val="nil"/>
              <w:left w:val="nil"/>
              <w:bottom w:val="single" w:sz="4" w:space="0" w:color="auto"/>
              <w:right w:val="single" w:sz="4" w:space="0" w:color="auto"/>
            </w:tcBorders>
            <w:shd w:val="clear" w:color="auto" w:fill="auto"/>
            <w:noWrap/>
            <w:vAlign w:val="center"/>
            <w:hideMark/>
          </w:tcPr>
          <w:p w14:paraId="493B774D"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-1,9</w:t>
            </w:r>
          </w:p>
        </w:tc>
        <w:tc>
          <w:tcPr>
            <w:tcW w:w="700" w:type="dxa"/>
            <w:tcBorders>
              <w:top w:val="nil"/>
              <w:left w:val="nil"/>
              <w:bottom w:val="single" w:sz="4" w:space="0" w:color="auto"/>
              <w:right w:val="single" w:sz="4" w:space="0" w:color="auto"/>
            </w:tcBorders>
            <w:shd w:val="clear" w:color="auto" w:fill="auto"/>
            <w:noWrap/>
            <w:vAlign w:val="center"/>
            <w:hideMark/>
          </w:tcPr>
          <w:p w14:paraId="095CA1F6"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-0,8</w:t>
            </w:r>
          </w:p>
        </w:tc>
        <w:tc>
          <w:tcPr>
            <w:tcW w:w="700" w:type="dxa"/>
            <w:tcBorders>
              <w:top w:val="nil"/>
              <w:left w:val="nil"/>
              <w:bottom w:val="single" w:sz="4" w:space="0" w:color="auto"/>
              <w:right w:val="single" w:sz="4" w:space="0" w:color="auto"/>
            </w:tcBorders>
            <w:shd w:val="clear" w:color="auto" w:fill="auto"/>
            <w:noWrap/>
            <w:vAlign w:val="center"/>
            <w:hideMark/>
          </w:tcPr>
          <w:p w14:paraId="41BE1DCE"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0,0</w:t>
            </w:r>
          </w:p>
        </w:tc>
        <w:tc>
          <w:tcPr>
            <w:tcW w:w="700" w:type="dxa"/>
            <w:tcBorders>
              <w:top w:val="nil"/>
              <w:left w:val="nil"/>
              <w:bottom w:val="single" w:sz="4" w:space="0" w:color="auto"/>
              <w:right w:val="single" w:sz="4" w:space="0" w:color="auto"/>
            </w:tcBorders>
            <w:shd w:val="clear" w:color="auto" w:fill="auto"/>
            <w:noWrap/>
            <w:vAlign w:val="center"/>
            <w:hideMark/>
          </w:tcPr>
          <w:p w14:paraId="358A2D98"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0,6</w:t>
            </w:r>
          </w:p>
        </w:tc>
        <w:tc>
          <w:tcPr>
            <w:tcW w:w="700" w:type="dxa"/>
            <w:tcBorders>
              <w:top w:val="nil"/>
              <w:left w:val="nil"/>
              <w:bottom w:val="single" w:sz="4" w:space="0" w:color="auto"/>
              <w:right w:val="single" w:sz="4" w:space="0" w:color="auto"/>
            </w:tcBorders>
            <w:shd w:val="clear" w:color="auto" w:fill="auto"/>
            <w:noWrap/>
            <w:vAlign w:val="center"/>
            <w:hideMark/>
          </w:tcPr>
          <w:p w14:paraId="1103FE2F"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1,0</w:t>
            </w:r>
          </w:p>
        </w:tc>
        <w:tc>
          <w:tcPr>
            <w:tcW w:w="700" w:type="dxa"/>
            <w:tcBorders>
              <w:top w:val="nil"/>
              <w:left w:val="nil"/>
              <w:bottom w:val="single" w:sz="4" w:space="0" w:color="auto"/>
              <w:right w:val="single" w:sz="4" w:space="0" w:color="auto"/>
            </w:tcBorders>
            <w:shd w:val="clear" w:color="auto" w:fill="auto"/>
            <w:noWrap/>
            <w:vAlign w:val="center"/>
            <w:hideMark/>
          </w:tcPr>
          <w:p w14:paraId="613AFC02"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1,2</w:t>
            </w:r>
          </w:p>
        </w:tc>
        <w:tc>
          <w:tcPr>
            <w:tcW w:w="700" w:type="dxa"/>
            <w:tcBorders>
              <w:top w:val="nil"/>
              <w:left w:val="nil"/>
              <w:bottom w:val="single" w:sz="4" w:space="0" w:color="auto"/>
              <w:right w:val="single" w:sz="4" w:space="0" w:color="auto"/>
            </w:tcBorders>
            <w:shd w:val="clear" w:color="auto" w:fill="auto"/>
            <w:noWrap/>
            <w:vAlign w:val="center"/>
            <w:hideMark/>
          </w:tcPr>
          <w:p w14:paraId="2EE2B5A4"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1,3</w:t>
            </w:r>
          </w:p>
        </w:tc>
        <w:tc>
          <w:tcPr>
            <w:tcW w:w="700" w:type="dxa"/>
            <w:tcBorders>
              <w:top w:val="nil"/>
              <w:left w:val="nil"/>
              <w:bottom w:val="single" w:sz="4" w:space="0" w:color="auto"/>
              <w:right w:val="single" w:sz="4" w:space="0" w:color="auto"/>
            </w:tcBorders>
            <w:shd w:val="clear" w:color="auto" w:fill="auto"/>
            <w:noWrap/>
            <w:vAlign w:val="center"/>
            <w:hideMark/>
          </w:tcPr>
          <w:p w14:paraId="4A5F110C"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1,2</w:t>
            </w:r>
          </w:p>
        </w:tc>
        <w:tc>
          <w:tcPr>
            <w:tcW w:w="700" w:type="dxa"/>
            <w:tcBorders>
              <w:top w:val="nil"/>
              <w:left w:val="nil"/>
              <w:bottom w:val="single" w:sz="4" w:space="0" w:color="auto"/>
              <w:right w:val="single" w:sz="4" w:space="0" w:color="auto"/>
            </w:tcBorders>
            <w:shd w:val="clear" w:color="auto" w:fill="auto"/>
            <w:noWrap/>
            <w:vAlign w:val="center"/>
            <w:hideMark/>
          </w:tcPr>
          <w:p w14:paraId="3C1DC33D"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1,0</w:t>
            </w:r>
          </w:p>
        </w:tc>
        <w:tc>
          <w:tcPr>
            <w:tcW w:w="700" w:type="dxa"/>
            <w:tcBorders>
              <w:top w:val="nil"/>
              <w:left w:val="nil"/>
              <w:bottom w:val="single" w:sz="4" w:space="0" w:color="auto"/>
              <w:right w:val="single" w:sz="4" w:space="0" w:color="auto"/>
            </w:tcBorders>
            <w:shd w:val="clear" w:color="auto" w:fill="auto"/>
            <w:noWrap/>
            <w:vAlign w:val="center"/>
            <w:hideMark/>
          </w:tcPr>
          <w:p w14:paraId="5CD7D8BF" w14:textId="77777777" w:rsidR="00945DC3" w:rsidRPr="00945DC3" w:rsidRDefault="00945DC3" w:rsidP="00945DC3">
            <w:pPr>
              <w:spacing w:before="0" w:after="0" w:line="240" w:lineRule="auto"/>
              <w:jc w:val="center"/>
              <w:rPr>
                <w:rFonts w:ascii="Times New Roman" w:eastAsia="Times New Roman" w:hAnsi="Times New Roman" w:cs="Times New Roman"/>
                <w:color w:val="000000"/>
                <w:lang w:eastAsia="es-ES"/>
                <w14:ligatures w14:val="none"/>
              </w:rPr>
            </w:pPr>
            <w:r w:rsidRPr="00945DC3">
              <w:rPr>
                <w:rFonts w:ascii="Times New Roman" w:eastAsia="Times New Roman" w:hAnsi="Times New Roman" w:cs="Times New Roman"/>
                <w:color w:val="000000"/>
                <w:lang w:eastAsia="es-ES"/>
                <w14:ligatures w14:val="none"/>
              </w:rPr>
              <w:t>0,5</w:t>
            </w:r>
          </w:p>
        </w:tc>
      </w:tr>
    </w:tbl>
    <w:p w14:paraId="166235D6" w14:textId="0892C56D"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Puerta acústica: </w:t>
      </w:r>
      <w:r w:rsidRPr="00A6297C">
        <w:rPr>
          <w:rFonts w:ascii="Times New Roman" w:hAnsi="Times New Roman" w:cs="Times New Roman"/>
          <w:color w:val="000000"/>
          <w:sz w:val="24"/>
          <w:szCs w:val="24"/>
        </w:rPr>
        <w:t xml:space="preserve">puerta con un aislamiento acústico mínimo de 38 </w:t>
      </w:r>
      <w:proofErr w:type="spellStart"/>
      <w:r w:rsidRPr="00A6297C">
        <w:rPr>
          <w:rFonts w:ascii="Times New Roman" w:hAnsi="Times New Roman" w:cs="Times New Roman"/>
          <w:color w:val="000000"/>
          <w:sz w:val="24"/>
          <w:szCs w:val="24"/>
        </w:rPr>
        <w:t>dBA</w:t>
      </w:r>
      <w:proofErr w:type="spellEnd"/>
      <w:r w:rsidRPr="00A6297C">
        <w:rPr>
          <w:rFonts w:ascii="Times New Roman" w:hAnsi="Times New Roman" w:cs="Times New Roman"/>
          <w:color w:val="000000"/>
          <w:sz w:val="24"/>
          <w:szCs w:val="24"/>
        </w:rPr>
        <w:t xml:space="preserve">, valorado por el índice de reducción sonora ponderado corregido </w:t>
      </w:r>
      <w:proofErr w:type="spellStart"/>
      <w:r w:rsidRPr="00A6297C">
        <w:rPr>
          <w:rFonts w:ascii="Times New Roman" w:hAnsi="Times New Roman" w:cs="Times New Roman"/>
          <w:color w:val="000000"/>
          <w:sz w:val="24"/>
          <w:szCs w:val="24"/>
        </w:rPr>
        <w:t>Rw</w:t>
      </w:r>
      <w:proofErr w:type="spellEnd"/>
      <w:r w:rsidRPr="00A6297C">
        <w:rPr>
          <w:rFonts w:ascii="Times New Roman" w:hAnsi="Times New Roman" w:cs="Times New Roman"/>
          <w:color w:val="000000"/>
          <w:sz w:val="24"/>
          <w:szCs w:val="24"/>
        </w:rPr>
        <w:t xml:space="preserve"> + C o </w:t>
      </w:r>
      <w:proofErr w:type="spellStart"/>
      <w:r w:rsidRPr="00A6297C">
        <w:rPr>
          <w:rFonts w:ascii="Times New Roman" w:hAnsi="Times New Roman" w:cs="Times New Roman"/>
          <w:color w:val="000000"/>
          <w:sz w:val="24"/>
          <w:szCs w:val="24"/>
        </w:rPr>
        <w:t>Rw</w:t>
      </w:r>
      <w:proofErr w:type="spellEnd"/>
      <w:r w:rsidRPr="00A6297C">
        <w:rPr>
          <w:rFonts w:ascii="Times New Roman" w:hAnsi="Times New Roman" w:cs="Times New Roman"/>
          <w:color w:val="000000"/>
          <w:sz w:val="24"/>
          <w:szCs w:val="24"/>
        </w:rPr>
        <w:t xml:space="preserve"> + </w:t>
      </w:r>
      <w:proofErr w:type="spellStart"/>
      <w:r w:rsidRPr="00A6297C">
        <w:rPr>
          <w:rFonts w:ascii="Times New Roman" w:hAnsi="Times New Roman" w:cs="Times New Roman"/>
          <w:color w:val="000000"/>
          <w:sz w:val="24"/>
          <w:szCs w:val="24"/>
        </w:rPr>
        <w:t>Ctr</w:t>
      </w:r>
      <w:proofErr w:type="spellEnd"/>
      <w:r w:rsidRPr="00A6297C">
        <w:rPr>
          <w:rFonts w:ascii="Times New Roman" w:hAnsi="Times New Roman" w:cs="Times New Roman"/>
          <w:color w:val="000000"/>
          <w:sz w:val="24"/>
          <w:szCs w:val="24"/>
        </w:rPr>
        <w:t>, y certificado mediante ensayo de laboratorio acreditado. El índice de reducción sonora (R) se valora con la norma UNE-EN-ISO-140</w:t>
      </w:r>
      <w:r w:rsidR="00C11880">
        <w:rPr>
          <w:rFonts w:ascii="Times New Roman" w:hAnsi="Times New Roman" w:cs="Times New Roman"/>
          <w:color w:val="000000"/>
          <w:sz w:val="24"/>
          <w:szCs w:val="24"/>
        </w:rPr>
        <w:t>:2011</w:t>
      </w:r>
      <w:r w:rsidRPr="00A6297C">
        <w:rPr>
          <w:rFonts w:ascii="Times New Roman" w:hAnsi="Times New Roman" w:cs="Times New Roman"/>
          <w:color w:val="000000"/>
          <w:sz w:val="24"/>
          <w:szCs w:val="24"/>
        </w:rPr>
        <w:t xml:space="preserve"> y el índice de reducción sonora ponderado corregido (</w:t>
      </w:r>
      <w:proofErr w:type="spellStart"/>
      <w:r w:rsidRPr="00A6297C">
        <w:rPr>
          <w:rFonts w:ascii="Times New Roman" w:hAnsi="Times New Roman" w:cs="Times New Roman"/>
          <w:color w:val="000000"/>
          <w:sz w:val="24"/>
          <w:szCs w:val="24"/>
        </w:rPr>
        <w:t>Rw</w:t>
      </w:r>
      <w:proofErr w:type="spellEnd"/>
      <w:r w:rsidRPr="00A6297C">
        <w:rPr>
          <w:rFonts w:ascii="Times New Roman" w:hAnsi="Times New Roman" w:cs="Times New Roman"/>
          <w:color w:val="000000"/>
          <w:sz w:val="24"/>
          <w:szCs w:val="24"/>
        </w:rPr>
        <w:t xml:space="preserve"> + C o </w:t>
      </w:r>
      <w:proofErr w:type="spellStart"/>
      <w:r w:rsidRPr="00A6297C">
        <w:rPr>
          <w:rFonts w:ascii="Times New Roman" w:hAnsi="Times New Roman" w:cs="Times New Roman"/>
          <w:color w:val="000000"/>
          <w:sz w:val="24"/>
          <w:szCs w:val="24"/>
        </w:rPr>
        <w:t>Rw</w:t>
      </w:r>
      <w:proofErr w:type="spellEnd"/>
      <w:r w:rsidRPr="00A6297C">
        <w:rPr>
          <w:rFonts w:ascii="Times New Roman" w:hAnsi="Times New Roman" w:cs="Times New Roman"/>
          <w:color w:val="000000"/>
          <w:sz w:val="24"/>
          <w:szCs w:val="24"/>
        </w:rPr>
        <w:t xml:space="preserve"> + </w:t>
      </w:r>
      <w:proofErr w:type="spellStart"/>
      <w:r w:rsidRPr="00A6297C">
        <w:rPr>
          <w:rFonts w:ascii="Times New Roman" w:hAnsi="Times New Roman" w:cs="Times New Roman"/>
          <w:color w:val="000000"/>
          <w:sz w:val="24"/>
          <w:szCs w:val="24"/>
        </w:rPr>
        <w:t>Ctr</w:t>
      </w:r>
      <w:proofErr w:type="spellEnd"/>
      <w:r w:rsidRPr="00A6297C">
        <w:rPr>
          <w:rFonts w:ascii="Times New Roman" w:hAnsi="Times New Roman" w:cs="Times New Roman"/>
          <w:color w:val="000000"/>
          <w:sz w:val="24"/>
          <w:szCs w:val="24"/>
        </w:rPr>
        <w:t xml:space="preserve">) con la norma </w:t>
      </w:r>
      <w:r w:rsidR="00C11880" w:rsidRPr="00C11880">
        <w:rPr>
          <w:rFonts w:ascii="Times New Roman" w:hAnsi="Times New Roman" w:cs="Times New Roman"/>
          <w:color w:val="000000"/>
          <w:sz w:val="24"/>
          <w:szCs w:val="24"/>
        </w:rPr>
        <w:t>UNE-EN ISO 717-1:2021</w:t>
      </w:r>
      <w:r w:rsidRPr="00A6297C">
        <w:rPr>
          <w:rFonts w:ascii="Times New Roman" w:hAnsi="Times New Roman" w:cs="Times New Roman"/>
          <w:color w:val="000000"/>
          <w:sz w:val="24"/>
          <w:szCs w:val="24"/>
        </w:rPr>
        <w:t xml:space="preserve">. </w:t>
      </w:r>
    </w:p>
    <w:p w14:paraId="50B81308"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Puerta no practicable: </w:t>
      </w:r>
      <w:r w:rsidRPr="00A6297C">
        <w:rPr>
          <w:rFonts w:ascii="Times New Roman" w:hAnsi="Times New Roman" w:cs="Times New Roman"/>
          <w:color w:val="000000"/>
          <w:sz w:val="24"/>
          <w:szCs w:val="24"/>
        </w:rPr>
        <w:t xml:space="preserve">puerta sin dispositivos de apertura o con éstos anulados. </w:t>
      </w:r>
    </w:p>
    <w:p w14:paraId="40BEEDE7" w14:textId="54384CBD"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Receptor de TV: </w:t>
      </w:r>
      <w:r w:rsidR="00C11880" w:rsidRPr="00A6297C">
        <w:rPr>
          <w:rFonts w:ascii="Times New Roman" w:hAnsi="Times New Roman" w:cs="Times New Roman"/>
          <w:color w:val="000000"/>
          <w:sz w:val="24"/>
          <w:szCs w:val="24"/>
        </w:rPr>
        <w:t>véase</w:t>
      </w:r>
      <w:r w:rsidRPr="00A6297C">
        <w:rPr>
          <w:rFonts w:ascii="Times New Roman" w:hAnsi="Times New Roman" w:cs="Times New Roman"/>
          <w:color w:val="000000"/>
          <w:sz w:val="24"/>
          <w:szCs w:val="24"/>
        </w:rPr>
        <w:t xml:space="preserve"> “elemento audiovisual con altavoces”. </w:t>
      </w:r>
    </w:p>
    <w:p w14:paraId="77B98225" w14:textId="7C5103A0"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Recinto abierto: </w:t>
      </w:r>
      <w:r w:rsidR="00C11880" w:rsidRPr="00A6297C">
        <w:rPr>
          <w:rFonts w:ascii="Times New Roman" w:hAnsi="Times New Roman" w:cs="Times New Roman"/>
          <w:color w:val="000000"/>
          <w:sz w:val="24"/>
          <w:szCs w:val="24"/>
        </w:rPr>
        <w:t>véase</w:t>
      </w:r>
      <w:r w:rsidRPr="00A6297C">
        <w:rPr>
          <w:rFonts w:ascii="Times New Roman" w:hAnsi="Times New Roman" w:cs="Times New Roman"/>
          <w:color w:val="000000"/>
          <w:sz w:val="24"/>
          <w:szCs w:val="24"/>
        </w:rPr>
        <w:t xml:space="preserve"> “establecimiento abierto”. </w:t>
      </w:r>
    </w:p>
    <w:p w14:paraId="22C2AD5E"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Recinto abierto parcialmente: </w:t>
      </w:r>
      <w:r w:rsidRPr="00A6297C">
        <w:rPr>
          <w:rFonts w:ascii="Times New Roman" w:hAnsi="Times New Roman" w:cs="Times New Roman"/>
          <w:color w:val="000000"/>
          <w:sz w:val="24"/>
          <w:szCs w:val="24"/>
        </w:rPr>
        <w:t xml:space="preserve">véase “establecimiento abierto”. </w:t>
      </w:r>
    </w:p>
    <w:p w14:paraId="2181C698"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color w:val="000000"/>
          <w:sz w:val="24"/>
          <w:szCs w:val="24"/>
        </w:rPr>
        <w:t xml:space="preserve">- </w:t>
      </w:r>
      <w:r w:rsidRPr="00A6297C">
        <w:rPr>
          <w:rFonts w:ascii="Times New Roman" w:hAnsi="Times New Roman" w:cs="Times New Roman"/>
          <w:b/>
          <w:color w:val="000000"/>
          <w:sz w:val="24"/>
          <w:szCs w:val="24"/>
        </w:rPr>
        <w:t xml:space="preserve">Recintos acústicamente colindantes: </w:t>
      </w:r>
      <w:r w:rsidRPr="00A6297C">
        <w:rPr>
          <w:rFonts w:ascii="Times New Roman" w:hAnsi="Times New Roman" w:cs="Times New Roman"/>
          <w:color w:val="000000"/>
          <w:sz w:val="24"/>
          <w:szCs w:val="24"/>
        </w:rPr>
        <w:t xml:space="preserve">se entiende que dos recintos son acústicamente colindantes cuando en ningún momento se produce la transmisión de ruido entre el emisor y el receptor a través del medio ambiente exterior. Por tanto, dos recintos son acústicamente colindantes cuando existe transmisión sonora vía estructural entre ambos. </w:t>
      </w:r>
    </w:p>
    <w:p w14:paraId="0AAC67B9"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Recinto cerrado: </w:t>
      </w:r>
      <w:r w:rsidRPr="00A6297C">
        <w:rPr>
          <w:rFonts w:ascii="Times New Roman" w:hAnsi="Times New Roman" w:cs="Times New Roman"/>
          <w:color w:val="000000"/>
          <w:sz w:val="24"/>
          <w:szCs w:val="24"/>
        </w:rPr>
        <w:t xml:space="preserve">véase “establecimiento cerrado”. </w:t>
      </w:r>
    </w:p>
    <w:p w14:paraId="1313E805"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Recinto cerrado parcialmente: </w:t>
      </w:r>
      <w:r w:rsidRPr="00A6297C">
        <w:rPr>
          <w:rFonts w:ascii="Times New Roman" w:hAnsi="Times New Roman" w:cs="Times New Roman"/>
          <w:color w:val="000000"/>
          <w:sz w:val="24"/>
          <w:szCs w:val="24"/>
        </w:rPr>
        <w:t xml:space="preserve">véase “establecimiento abierto”. </w:t>
      </w:r>
    </w:p>
    <w:p w14:paraId="7DB8CA0D" w14:textId="06D1990A"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Recintos colindantes: </w:t>
      </w:r>
      <w:r w:rsidRPr="00A6297C">
        <w:rPr>
          <w:rFonts w:ascii="Times New Roman" w:hAnsi="Times New Roman" w:cs="Times New Roman"/>
          <w:color w:val="000000"/>
          <w:sz w:val="24"/>
          <w:szCs w:val="24"/>
        </w:rPr>
        <w:t xml:space="preserve">recintos contiguos que disponen de una pared o de un tramo de pared común separadora. </w:t>
      </w:r>
      <w:r w:rsidR="00D45F5C" w:rsidRPr="00A6297C">
        <w:rPr>
          <w:rFonts w:ascii="Times New Roman" w:hAnsi="Times New Roman" w:cs="Times New Roman"/>
          <w:color w:val="000000"/>
          <w:sz w:val="24"/>
          <w:szCs w:val="24"/>
        </w:rPr>
        <w:t>Asimismo,</w:t>
      </w:r>
      <w:r w:rsidRPr="00A6297C">
        <w:rPr>
          <w:rFonts w:ascii="Times New Roman" w:hAnsi="Times New Roman" w:cs="Times New Roman"/>
          <w:color w:val="000000"/>
          <w:sz w:val="24"/>
          <w:szCs w:val="24"/>
        </w:rPr>
        <w:t xml:space="preserve"> se consideran recintos colindantes los recintos contiguos entre los que medien dos o más paredes separadas por juntas o cámaras para conseguir los aislamientos térmicos y acústicos exigidos por las normas de la edificación. </w:t>
      </w:r>
      <w:proofErr w:type="gramStart"/>
      <w:r w:rsidR="00D45F5C">
        <w:rPr>
          <w:rFonts w:ascii="Times New Roman" w:hAnsi="Times New Roman" w:cs="Times New Roman"/>
          <w:color w:val="000000"/>
          <w:sz w:val="24"/>
          <w:szCs w:val="24"/>
        </w:rPr>
        <w:t>Destacar</w:t>
      </w:r>
      <w:proofErr w:type="gramEnd"/>
      <w:r w:rsidR="00D45F5C">
        <w:rPr>
          <w:rFonts w:ascii="Times New Roman" w:hAnsi="Times New Roman" w:cs="Times New Roman"/>
          <w:color w:val="000000"/>
          <w:sz w:val="24"/>
          <w:szCs w:val="24"/>
        </w:rPr>
        <w:t xml:space="preserve"> que d</w:t>
      </w:r>
      <w:r w:rsidR="00D45F5C" w:rsidRPr="00D45F5C">
        <w:rPr>
          <w:rFonts w:ascii="Times New Roman" w:hAnsi="Times New Roman" w:cs="Times New Roman"/>
          <w:color w:val="000000"/>
          <w:sz w:val="24"/>
          <w:szCs w:val="24"/>
        </w:rPr>
        <w:t>os recintos pueden ser acústicamente colindantes y no colindantes al mismo tiempo</w:t>
      </w:r>
      <w:r w:rsidR="00D45F5C">
        <w:rPr>
          <w:rFonts w:ascii="Times New Roman" w:hAnsi="Times New Roman" w:cs="Times New Roman"/>
          <w:color w:val="000000"/>
          <w:sz w:val="24"/>
          <w:szCs w:val="24"/>
        </w:rPr>
        <w:t>;</w:t>
      </w:r>
      <w:r w:rsidR="00D45F5C" w:rsidRPr="00D45F5C">
        <w:rPr>
          <w:rFonts w:ascii="Times New Roman" w:hAnsi="Times New Roman" w:cs="Times New Roman"/>
          <w:color w:val="000000"/>
          <w:sz w:val="24"/>
          <w:szCs w:val="24"/>
        </w:rPr>
        <w:t xml:space="preserve"> </w:t>
      </w:r>
      <w:r w:rsidR="00D45F5C">
        <w:rPr>
          <w:rFonts w:ascii="Times New Roman" w:hAnsi="Times New Roman" w:cs="Times New Roman"/>
          <w:color w:val="000000"/>
          <w:sz w:val="24"/>
          <w:szCs w:val="24"/>
        </w:rPr>
        <w:t>s</w:t>
      </w:r>
      <w:r w:rsidR="00D45F5C" w:rsidRPr="00D45F5C">
        <w:rPr>
          <w:rFonts w:ascii="Times New Roman" w:hAnsi="Times New Roman" w:cs="Times New Roman"/>
          <w:color w:val="000000"/>
          <w:sz w:val="24"/>
          <w:szCs w:val="24"/>
        </w:rPr>
        <w:t>ería el caso, por ejemplo, de una actividad en la planta baja de un edificio de viviendas que transmitiese ruido vía estructural a una vivienda de la planta 4º de dicho edificio</w:t>
      </w:r>
      <w:r w:rsidR="00D45F5C">
        <w:rPr>
          <w:rFonts w:ascii="Times New Roman" w:hAnsi="Times New Roman" w:cs="Times New Roman"/>
          <w:color w:val="000000"/>
          <w:sz w:val="24"/>
          <w:szCs w:val="24"/>
        </w:rPr>
        <w:t>,</w:t>
      </w:r>
      <w:r w:rsidR="00D45F5C" w:rsidRPr="00D45F5C">
        <w:rPr>
          <w:rFonts w:ascii="Times New Roman" w:hAnsi="Times New Roman" w:cs="Times New Roman"/>
          <w:color w:val="000000"/>
          <w:sz w:val="24"/>
          <w:szCs w:val="24"/>
        </w:rPr>
        <w:t xml:space="preserve"> </w:t>
      </w:r>
      <w:r w:rsidR="00D45F5C">
        <w:rPr>
          <w:rFonts w:ascii="Times New Roman" w:hAnsi="Times New Roman" w:cs="Times New Roman"/>
          <w:color w:val="000000"/>
          <w:sz w:val="24"/>
          <w:szCs w:val="24"/>
        </w:rPr>
        <w:t>l</w:t>
      </w:r>
      <w:r w:rsidR="00D45F5C" w:rsidRPr="00D45F5C">
        <w:rPr>
          <w:rFonts w:ascii="Times New Roman" w:hAnsi="Times New Roman" w:cs="Times New Roman"/>
          <w:color w:val="000000"/>
          <w:sz w:val="24"/>
          <w:szCs w:val="24"/>
        </w:rPr>
        <w:t xml:space="preserve">os dos recintos serían </w:t>
      </w:r>
      <w:r w:rsidR="00D45F5C">
        <w:rPr>
          <w:rFonts w:ascii="Times New Roman" w:hAnsi="Times New Roman" w:cs="Times New Roman"/>
          <w:color w:val="000000"/>
          <w:sz w:val="24"/>
          <w:szCs w:val="24"/>
        </w:rPr>
        <w:t xml:space="preserve">en este caso </w:t>
      </w:r>
      <w:r w:rsidR="00D45F5C" w:rsidRPr="00D45F5C">
        <w:rPr>
          <w:rFonts w:ascii="Times New Roman" w:hAnsi="Times New Roman" w:cs="Times New Roman"/>
          <w:color w:val="000000"/>
          <w:sz w:val="24"/>
          <w:szCs w:val="24"/>
        </w:rPr>
        <w:t>acústicamente colindantes.</w:t>
      </w:r>
    </w:p>
    <w:p w14:paraId="09A913E2" w14:textId="1AD125E1"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Recintos contiguos: </w:t>
      </w:r>
      <w:r w:rsidRPr="00A6297C">
        <w:rPr>
          <w:rFonts w:ascii="Times New Roman" w:hAnsi="Times New Roman" w:cs="Times New Roman"/>
          <w:color w:val="000000"/>
          <w:sz w:val="24"/>
          <w:szCs w:val="24"/>
        </w:rPr>
        <w:t xml:space="preserve">recintos situados uno inmediatamente a continuación del otro, en cualquiera de las tres proyecciones diédricas. Los recintos contiguos pueden ser de cuatro clases: colindantes, con una arista horizontal común, con una arista vertical común y con un vértice común. </w:t>
      </w:r>
    </w:p>
    <w:p w14:paraId="366C89A9"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Recintos contiguos con una arista horizontal común: </w:t>
      </w:r>
      <w:r w:rsidRPr="00A6297C">
        <w:rPr>
          <w:rFonts w:ascii="Times New Roman" w:hAnsi="Times New Roman" w:cs="Times New Roman"/>
          <w:color w:val="000000"/>
          <w:sz w:val="24"/>
          <w:szCs w:val="24"/>
        </w:rPr>
        <w:t xml:space="preserve">recintos contiguos no colindantes pero unidos por una arista horizontal común a ambos. </w:t>
      </w:r>
    </w:p>
    <w:p w14:paraId="7CE9F9F3"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lastRenderedPageBreak/>
        <w:t xml:space="preserve">- Recintos contiguos con una arista vertical común: </w:t>
      </w:r>
      <w:r w:rsidRPr="00A6297C">
        <w:rPr>
          <w:rFonts w:ascii="Times New Roman" w:hAnsi="Times New Roman" w:cs="Times New Roman"/>
          <w:color w:val="000000"/>
          <w:sz w:val="24"/>
          <w:szCs w:val="24"/>
        </w:rPr>
        <w:t xml:space="preserve">recintos contiguos no colindantes pero unidos por una arista vertical común a ambos. </w:t>
      </w:r>
    </w:p>
    <w:p w14:paraId="3726CC26"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Recintos contiguos con un vértice común: </w:t>
      </w:r>
      <w:r w:rsidRPr="00A6297C">
        <w:rPr>
          <w:rFonts w:ascii="Times New Roman" w:hAnsi="Times New Roman" w:cs="Times New Roman"/>
          <w:color w:val="000000"/>
          <w:sz w:val="24"/>
          <w:szCs w:val="24"/>
        </w:rPr>
        <w:t xml:space="preserve">recintos contiguos no colindantes pero unidos por un vértice común a ambos. </w:t>
      </w:r>
    </w:p>
    <w:p w14:paraId="6672A4CB"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Recinto de máquinas: </w:t>
      </w:r>
      <w:r w:rsidRPr="00A6297C">
        <w:rPr>
          <w:rFonts w:ascii="Times New Roman" w:hAnsi="Times New Roman" w:cs="Times New Roman"/>
          <w:color w:val="000000"/>
          <w:sz w:val="24"/>
          <w:szCs w:val="24"/>
        </w:rPr>
        <w:t xml:space="preserve">recinto cerrado acústicamente aislado para evitar la transmisión por vía aérea y estructural del ruido y vibraciones de las máquinas instaladas en su interior. </w:t>
      </w:r>
    </w:p>
    <w:p w14:paraId="5728FB87"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Recinto ruidoso: </w:t>
      </w:r>
      <w:r w:rsidRPr="00A6297C">
        <w:rPr>
          <w:rFonts w:ascii="Times New Roman" w:hAnsi="Times New Roman" w:cs="Times New Roman"/>
          <w:color w:val="000000"/>
          <w:sz w:val="24"/>
          <w:szCs w:val="24"/>
        </w:rPr>
        <w:t xml:space="preserve">véase “actividad ruidosa”. </w:t>
      </w:r>
    </w:p>
    <w:p w14:paraId="5A464694"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Recintos superpuestos: </w:t>
      </w:r>
      <w:r w:rsidRPr="00A6297C">
        <w:rPr>
          <w:rFonts w:ascii="Times New Roman" w:hAnsi="Times New Roman" w:cs="Times New Roman"/>
          <w:color w:val="000000"/>
          <w:sz w:val="24"/>
          <w:szCs w:val="24"/>
        </w:rPr>
        <w:t xml:space="preserve">recintos colindantes verticalmente. </w:t>
      </w:r>
    </w:p>
    <w:p w14:paraId="550E821E"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Respuesta impulsiva (impulse): </w:t>
      </w:r>
      <w:r w:rsidRPr="00A6297C">
        <w:rPr>
          <w:rFonts w:ascii="Times New Roman" w:hAnsi="Times New Roman" w:cs="Times New Roman"/>
          <w:color w:val="000000"/>
          <w:sz w:val="24"/>
          <w:szCs w:val="24"/>
        </w:rPr>
        <w:t xml:space="preserve">promediado temporal del sonómetro con ponderación temporal “impulse”, utilizando una constante de tiempo de integración igual a 0,035 segundos. </w:t>
      </w:r>
    </w:p>
    <w:p w14:paraId="28A29762"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Respuesta lenta (</w:t>
      </w:r>
      <w:proofErr w:type="spellStart"/>
      <w:r w:rsidRPr="00A6297C">
        <w:rPr>
          <w:rFonts w:ascii="Times New Roman" w:hAnsi="Times New Roman" w:cs="Times New Roman"/>
          <w:b/>
          <w:color w:val="000000"/>
          <w:sz w:val="24"/>
          <w:szCs w:val="24"/>
        </w:rPr>
        <w:t>slow</w:t>
      </w:r>
      <w:proofErr w:type="spellEnd"/>
      <w:r w:rsidRPr="00A6297C">
        <w:rPr>
          <w:rFonts w:ascii="Times New Roman" w:hAnsi="Times New Roman" w:cs="Times New Roman"/>
          <w:b/>
          <w:color w:val="000000"/>
          <w:sz w:val="24"/>
          <w:szCs w:val="24"/>
        </w:rPr>
        <w:t xml:space="preserve">): </w:t>
      </w:r>
      <w:r w:rsidRPr="00A6297C">
        <w:rPr>
          <w:rFonts w:ascii="Times New Roman" w:hAnsi="Times New Roman" w:cs="Times New Roman"/>
          <w:color w:val="000000"/>
          <w:sz w:val="24"/>
          <w:szCs w:val="24"/>
        </w:rPr>
        <w:t>promediado temporal del sonómetro con ponderación temporal “</w:t>
      </w:r>
      <w:proofErr w:type="spellStart"/>
      <w:r w:rsidRPr="00A6297C">
        <w:rPr>
          <w:rFonts w:ascii="Times New Roman" w:hAnsi="Times New Roman" w:cs="Times New Roman"/>
          <w:color w:val="000000"/>
          <w:sz w:val="24"/>
          <w:szCs w:val="24"/>
        </w:rPr>
        <w:t>slow</w:t>
      </w:r>
      <w:proofErr w:type="spellEnd"/>
      <w:r w:rsidRPr="00A6297C">
        <w:rPr>
          <w:rFonts w:ascii="Times New Roman" w:hAnsi="Times New Roman" w:cs="Times New Roman"/>
          <w:color w:val="000000"/>
          <w:sz w:val="24"/>
          <w:szCs w:val="24"/>
        </w:rPr>
        <w:t xml:space="preserve">”, utilizando una constante de tiempo de integración igual a un segundo. </w:t>
      </w:r>
    </w:p>
    <w:p w14:paraId="00966651"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Respuesta rápida (</w:t>
      </w:r>
      <w:proofErr w:type="spellStart"/>
      <w:r w:rsidRPr="00A6297C">
        <w:rPr>
          <w:rFonts w:ascii="Times New Roman" w:hAnsi="Times New Roman" w:cs="Times New Roman"/>
          <w:b/>
          <w:color w:val="000000"/>
          <w:sz w:val="24"/>
          <w:szCs w:val="24"/>
        </w:rPr>
        <w:t>fast</w:t>
      </w:r>
      <w:proofErr w:type="spellEnd"/>
      <w:r w:rsidRPr="00A6297C">
        <w:rPr>
          <w:rFonts w:ascii="Times New Roman" w:hAnsi="Times New Roman" w:cs="Times New Roman"/>
          <w:b/>
          <w:color w:val="000000"/>
          <w:sz w:val="24"/>
          <w:szCs w:val="24"/>
        </w:rPr>
        <w:t xml:space="preserve">): </w:t>
      </w:r>
      <w:r w:rsidRPr="00A6297C">
        <w:rPr>
          <w:rFonts w:ascii="Times New Roman" w:hAnsi="Times New Roman" w:cs="Times New Roman"/>
          <w:color w:val="000000"/>
          <w:sz w:val="24"/>
          <w:szCs w:val="24"/>
        </w:rPr>
        <w:t>promediado temporal del sonómetro con ponderación temporal “</w:t>
      </w:r>
      <w:proofErr w:type="spellStart"/>
      <w:r w:rsidRPr="00A6297C">
        <w:rPr>
          <w:rFonts w:ascii="Times New Roman" w:hAnsi="Times New Roman" w:cs="Times New Roman"/>
          <w:color w:val="000000"/>
          <w:sz w:val="24"/>
          <w:szCs w:val="24"/>
        </w:rPr>
        <w:t>fast</w:t>
      </w:r>
      <w:proofErr w:type="spellEnd"/>
      <w:r w:rsidRPr="00A6297C">
        <w:rPr>
          <w:rFonts w:ascii="Times New Roman" w:hAnsi="Times New Roman" w:cs="Times New Roman"/>
          <w:color w:val="000000"/>
          <w:sz w:val="24"/>
          <w:szCs w:val="24"/>
        </w:rPr>
        <w:t xml:space="preserve">”, utilizando una constante de tiempo de integración igual a 0,125 segundos. </w:t>
      </w:r>
    </w:p>
    <w:p w14:paraId="24DFF17E"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Restaurante: </w:t>
      </w:r>
      <w:r w:rsidRPr="00A6297C">
        <w:rPr>
          <w:rFonts w:ascii="Times New Roman" w:hAnsi="Times New Roman" w:cs="Times New Roman"/>
          <w:color w:val="000000"/>
          <w:sz w:val="24"/>
          <w:szCs w:val="24"/>
        </w:rPr>
        <w:t xml:space="preserve">establecimiento público fijo, independiente o agregado a otros de actividad económica distinta que se dedica con carácter permanente a servir al público en mesas situadas en el local o, previa autorización municipal, en terrazas o zonas accesibles desde su interior, bebidas y comidas frías o calientes recogidas en la carta y cocinadas en sus propias instalaciones por sus personas empleadas. Así pues, estará prohibido a este tipo de establecimientos servir comidas y bebidas fuera de sus instalaciones. El local deberá reunir, además, las siguientes condiciones: </w:t>
      </w:r>
    </w:p>
    <w:p w14:paraId="3E402DDD"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color w:val="000000"/>
          <w:sz w:val="24"/>
          <w:szCs w:val="24"/>
        </w:rPr>
        <w:t xml:space="preserve">a) deberá disponer necesariamente de cocina, conformada como recinto propio e independiente, debiendo, asimismo, disponer de sistema de evacuación de humos que incluya conducto para evacuación cenital. </w:t>
      </w:r>
    </w:p>
    <w:p w14:paraId="23940A5D" w14:textId="4E3EA40C"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color w:val="000000"/>
          <w:sz w:val="24"/>
          <w:szCs w:val="24"/>
        </w:rPr>
        <w:t xml:space="preserve">b) el establecimiento será ocupado por mesas y sillas, previéndose tal mobiliario para un aforo de una persona por cada 1,50 m2, salvo impedimento físico derivado de la morfología del local (tabla 2.1 del apartado 2 del DB-SI-3 del CTE), no pudiendo existir zonas libres para la permanencia de clientes de pie. </w:t>
      </w:r>
    </w:p>
    <w:p w14:paraId="015E646F"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color w:val="000000"/>
          <w:sz w:val="24"/>
          <w:szCs w:val="24"/>
        </w:rPr>
        <w:t xml:space="preserve">c) el mobiliario representado en planos responderá a dicho aforo y habrá de ser respetado, básicamente, una vez instalada la actividad y durante el funcionamiento de </w:t>
      </w:r>
      <w:proofErr w:type="gramStart"/>
      <w:r w:rsidRPr="00A6297C">
        <w:rPr>
          <w:rFonts w:ascii="Times New Roman" w:hAnsi="Times New Roman" w:cs="Times New Roman"/>
          <w:color w:val="000000"/>
          <w:sz w:val="24"/>
          <w:szCs w:val="24"/>
        </w:rPr>
        <w:t>la misma</w:t>
      </w:r>
      <w:proofErr w:type="gramEnd"/>
      <w:r w:rsidRPr="00A6297C">
        <w:rPr>
          <w:rFonts w:ascii="Times New Roman" w:hAnsi="Times New Roman" w:cs="Times New Roman"/>
          <w:color w:val="000000"/>
          <w:sz w:val="24"/>
          <w:szCs w:val="24"/>
        </w:rPr>
        <w:t xml:space="preserve">. Se prohíben las sillas y mesas altas para el público, no pudiendo exceder de 80 cm la altura de las mesas ni de 60 cm la de las sillas. </w:t>
      </w:r>
    </w:p>
    <w:p w14:paraId="1D3FB737"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color w:val="000000"/>
          <w:sz w:val="24"/>
          <w:szCs w:val="24"/>
        </w:rPr>
        <w:t xml:space="preserve">d) no podrá disponer de barra, repisas o similares donde consuman los clientes. Excepcionalmente, podrá existir una barra aislada para la atención de dichos clientes mientras aguardan turno para ocupar una mesa, de una longitud máxima de 1,50 metros, con una altura inferior a 0,70 m o superior a 1,20 m. En ningún caso esta barra podrá diseñarse mediante el acortamiento de otra barra mayor con cristaleras, mamparas, obra de fábrica o similar, debiendo interrumpirse completamente su trazado, tanto en la zona de público como en zonas privadas </w:t>
      </w:r>
      <w:r w:rsidRPr="00A6297C">
        <w:rPr>
          <w:rFonts w:ascii="Times New Roman" w:hAnsi="Times New Roman" w:cs="Times New Roman"/>
          <w:color w:val="000000"/>
          <w:sz w:val="24"/>
          <w:szCs w:val="24"/>
        </w:rPr>
        <w:lastRenderedPageBreak/>
        <w:t xml:space="preserve">interiores de empleados. </w:t>
      </w:r>
    </w:p>
    <w:p w14:paraId="306477FF"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color w:val="000000"/>
          <w:sz w:val="24"/>
          <w:szCs w:val="24"/>
        </w:rPr>
        <w:t xml:space="preserve">e) la zona de barra no podrá quedar situada en conexión directa con la entrada al local, sino en una dependencia distinta a la que haya de accederse mediante puerta, o bien disponiendo el establecimiento de vestíbulo acústico previo de acceso conforme a las condiciones establecidas en la Ordenanza. </w:t>
      </w:r>
    </w:p>
    <w:p w14:paraId="195C4DC4"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Ruido ambiental: </w:t>
      </w:r>
      <w:r w:rsidRPr="00A6297C">
        <w:rPr>
          <w:rFonts w:ascii="Times New Roman" w:hAnsi="Times New Roman" w:cs="Times New Roman"/>
          <w:color w:val="000000"/>
          <w:sz w:val="24"/>
          <w:szCs w:val="24"/>
        </w:rPr>
        <w:t xml:space="preserve">nivel sonoro característico de un espacio determinado, generado por las actividades humanas, incluido el ruido emitido por los medios de transporte, las actividades industriales, comerciales, de servicios, etc. </w:t>
      </w:r>
    </w:p>
    <w:p w14:paraId="0520050D"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Ruido de fondo: </w:t>
      </w:r>
      <w:r w:rsidRPr="00A6297C">
        <w:rPr>
          <w:rFonts w:ascii="Times New Roman" w:hAnsi="Times New Roman" w:cs="Times New Roman"/>
          <w:color w:val="000000"/>
          <w:sz w:val="24"/>
          <w:szCs w:val="24"/>
        </w:rPr>
        <w:t xml:space="preserve">nivel sonoro que queda en un lugar al anular o detener la fuente ruidosa objeto de evaluación. El ruido originado por el tráfico se considera ruido de fondo. </w:t>
      </w:r>
    </w:p>
    <w:p w14:paraId="386E7F54"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Ruido de impacto: </w:t>
      </w:r>
      <w:r w:rsidRPr="00A6297C">
        <w:rPr>
          <w:rFonts w:ascii="Times New Roman" w:hAnsi="Times New Roman" w:cs="Times New Roman"/>
          <w:color w:val="000000"/>
          <w:sz w:val="24"/>
          <w:szCs w:val="24"/>
        </w:rPr>
        <w:t xml:space="preserve">ruido debido a la energía mecánica que como consecuencia del choque de dos masas se transmite por vía aérea o estructural. </w:t>
      </w:r>
    </w:p>
    <w:p w14:paraId="0217932C"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Ruido impulsivo: </w:t>
      </w:r>
      <w:r w:rsidRPr="00A6297C">
        <w:rPr>
          <w:rFonts w:ascii="Times New Roman" w:hAnsi="Times New Roman" w:cs="Times New Roman"/>
          <w:color w:val="000000"/>
          <w:sz w:val="24"/>
          <w:szCs w:val="24"/>
        </w:rPr>
        <w:t xml:space="preserve">sonido de muy corta duración (generalmente inferior a un segundo), con una abrupta subida seguida de una rápida disminución de nivel sonoro. </w:t>
      </w:r>
    </w:p>
    <w:p w14:paraId="5D75AC17"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Ruido por transmisión aérea: </w:t>
      </w:r>
      <w:r w:rsidRPr="00A6297C">
        <w:rPr>
          <w:rFonts w:ascii="Times New Roman" w:hAnsi="Times New Roman" w:cs="Times New Roman"/>
          <w:color w:val="000000"/>
          <w:sz w:val="24"/>
          <w:szCs w:val="24"/>
        </w:rPr>
        <w:t xml:space="preserve">ruido debido únicamente a la transmisión de energía acústica por vía aérea. </w:t>
      </w:r>
    </w:p>
    <w:p w14:paraId="0657D58A"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Ruido por transmisión estructural: </w:t>
      </w:r>
      <w:r w:rsidRPr="00A6297C">
        <w:rPr>
          <w:rFonts w:ascii="Times New Roman" w:hAnsi="Times New Roman" w:cs="Times New Roman"/>
          <w:color w:val="000000"/>
          <w:sz w:val="24"/>
          <w:szCs w:val="24"/>
        </w:rPr>
        <w:t xml:space="preserve">ruido debido a la energía mecánica que se transmite a través de una estructura sólida. En una edificación la transmisión vía estructural podrá originar ruido aéreo en el interior de recintos receptores ajenos al recinto emisor. </w:t>
      </w:r>
    </w:p>
    <w:p w14:paraId="72A7B7D1"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Ruido residual: </w:t>
      </w:r>
      <w:r w:rsidRPr="00A6297C">
        <w:rPr>
          <w:rFonts w:ascii="Times New Roman" w:hAnsi="Times New Roman" w:cs="Times New Roman"/>
          <w:color w:val="000000"/>
          <w:sz w:val="24"/>
          <w:szCs w:val="24"/>
        </w:rPr>
        <w:t xml:space="preserve">véase “ruido de fondo” </w:t>
      </w:r>
    </w:p>
    <w:p w14:paraId="2743BEF8"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Sala de máquinas: </w:t>
      </w:r>
      <w:r w:rsidRPr="00A6297C">
        <w:rPr>
          <w:rFonts w:ascii="Times New Roman" w:hAnsi="Times New Roman" w:cs="Times New Roman"/>
          <w:color w:val="000000"/>
          <w:sz w:val="24"/>
          <w:szCs w:val="24"/>
        </w:rPr>
        <w:t xml:space="preserve">véase “recinto de máquinas”. </w:t>
      </w:r>
    </w:p>
    <w:p w14:paraId="6D01F540" w14:textId="060841BD"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w:t>
      </w:r>
      <w:r w:rsidR="00D45F5C">
        <w:rPr>
          <w:rFonts w:ascii="Times New Roman" w:hAnsi="Times New Roman" w:cs="Times New Roman"/>
          <w:b/>
          <w:color w:val="000000"/>
          <w:sz w:val="24"/>
          <w:szCs w:val="24"/>
        </w:rPr>
        <w:t xml:space="preserve"> </w:t>
      </w:r>
      <w:r w:rsidRPr="00A6297C">
        <w:rPr>
          <w:rFonts w:ascii="Times New Roman" w:hAnsi="Times New Roman" w:cs="Times New Roman"/>
          <w:b/>
          <w:color w:val="000000"/>
          <w:sz w:val="24"/>
          <w:szCs w:val="24"/>
        </w:rPr>
        <w:t xml:space="preserve">Salida de emergencia: </w:t>
      </w:r>
      <w:r w:rsidRPr="00A6297C">
        <w:rPr>
          <w:rFonts w:ascii="Times New Roman" w:hAnsi="Times New Roman" w:cs="Times New Roman"/>
          <w:color w:val="000000"/>
          <w:sz w:val="24"/>
          <w:szCs w:val="24"/>
        </w:rPr>
        <w:t xml:space="preserve">salida de un local destinada exclusivamente a emergencias, acondicionada con puertas que deben reunir las siguientes condiciones: </w:t>
      </w:r>
    </w:p>
    <w:p w14:paraId="1E2AA2DB" w14:textId="426A579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color w:val="000000"/>
          <w:sz w:val="24"/>
          <w:szCs w:val="24"/>
        </w:rPr>
        <w:t xml:space="preserve">a) no tener elementos que permitan su apertura desde el exterior. </w:t>
      </w:r>
    </w:p>
    <w:p w14:paraId="64B66D1E"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color w:val="000000"/>
          <w:sz w:val="24"/>
          <w:szCs w:val="24"/>
        </w:rPr>
        <w:t xml:space="preserve">b) disponer de sistema de apertura antipático. </w:t>
      </w:r>
    </w:p>
    <w:p w14:paraId="458515A1"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color w:val="000000"/>
          <w:sz w:val="24"/>
          <w:szCs w:val="24"/>
        </w:rPr>
        <w:t xml:space="preserve">c) cumplir el resto de </w:t>
      </w:r>
      <w:proofErr w:type="gramStart"/>
      <w:r w:rsidRPr="00A6297C">
        <w:rPr>
          <w:rFonts w:ascii="Times New Roman" w:hAnsi="Times New Roman" w:cs="Times New Roman"/>
          <w:color w:val="000000"/>
          <w:sz w:val="24"/>
          <w:szCs w:val="24"/>
        </w:rPr>
        <w:t>condiciones</w:t>
      </w:r>
      <w:proofErr w:type="gramEnd"/>
      <w:r w:rsidRPr="00A6297C">
        <w:rPr>
          <w:rFonts w:ascii="Times New Roman" w:hAnsi="Times New Roman" w:cs="Times New Roman"/>
          <w:color w:val="000000"/>
          <w:sz w:val="24"/>
          <w:szCs w:val="24"/>
        </w:rPr>
        <w:t xml:space="preserve"> sobre seguridad y prevención contra incendios establecidas en la legislación vigente. </w:t>
      </w:r>
    </w:p>
    <w:p w14:paraId="1D9B9363"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color w:val="000000"/>
          <w:sz w:val="24"/>
          <w:szCs w:val="24"/>
        </w:rPr>
        <w:t xml:space="preserve">d) cuando se instalen en actividades con música o con música en directo, deberán disponer del aislamiento acústico necesario según los índices </w:t>
      </w:r>
      <w:proofErr w:type="spellStart"/>
      <w:r w:rsidRPr="00A6297C">
        <w:rPr>
          <w:rFonts w:ascii="Times New Roman" w:hAnsi="Times New Roman" w:cs="Times New Roman"/>
          <w:color w:val="000000"/>
          <w:sz w:val="24"/>
          <w:szCs w:val="24"/>
        </w:rPr>
        <w:t>Rw</w:t>
      </w:r>
      <w:proofErr w:type="spellEnd"/>
      <w:r w:rsidRPr="00A6297C">
        <w:rPr>
          <w:rFonts w:ascii="Times New Roman" w:hAnsi="Times New Roman" w:cs="Times New Roman"/>
          <w:color w:val="000000"/>
          <w:sz w:val="24"/>
          <w:szCs w:val="24"/>
        </w:rPr>
        <w:t xml:space="preserve"> + C o </w:t>
      </w:r>
      <w:proofErr w:type="spellStart"/>
      <w:r w:rsidRPr="00A6297C">
        <w:rPr>
          <w:rFonts w:ascii="Times New Roman" w:hAnsi="Times New Roman" w:cs="Times New Roman"/>
          <w:color w:val="000000"/>
          <w:sz w:val="24"/>
          <w:szCs w:val="24"/>
        </w:rPr>
        <w:t>Rw</w:t>
      </w:r>
      <w:proofErr w:type="spellEnd"/>
      <w:r w:rsidRPr="00A6297C">
        <w:rPr>
          <w:rFonts w:ascii="Times New Roman" w:hAnsi="Times New Roman" w:cs="Times New Roman"/>
          <w:color w:val="000000"/>
          <w:sz w:val="24"/>
          <w:szCs w:val="24"/>
        </w:rPr>
        <w:t xml:space="preserve"> + </w:t>
      </w:r>
      <w:proofErr w:type="spellStart"/>
      <w:r w:rsidRPr="00A6297C">
        <w:rPr>
          <w:rFonts w:ascii="Times New Roman" w:hAnsi="Times New Roman" w:cs="Times New Roman"/>
          <w:color w:val="000000"/>
          <w:sz w:val="24"/>
          <w:szCs w:val="24"/>
        </w:rPr>
        <w:t>Ctr</w:t>
      </w:r>
      <w:proofErr w:type="spellEnd"/>
      <w:r w:rsidRPr="00A6297C">
        <w:rPr>
          <w:rFonts w:ascii="Times New Roman" w:hAnsi="Times New Roman" w:cs="Times New Roman"/>
          <w:color w:val="000000"/>
          <w:sz w:val="24"/>
          <w:szCs w:val="24"/>
        </w:rPr>
        <w:t xml:space="preserve">, justificados con la documentación del fabricante teniendo en cuenta el ensayo realizado por laboratorio acreditado. </w:t>
      </w:r>
    </w:p>
    <w:p w14:paraId="747204E5"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Silenciador: </w:t>
      </w:r>
      <w:r w:rsidRPr="00A6297C">
        <w:rPr>
          <w:rFonts w:ascii="Times New Roman" w:hAnsi="Times New Roman" w:cs="Times New Roman"/>
          <w:color w:val="000000"/>
          <w:sz w:val="24"/>
          <w:szCs w:val="24"/>
        </w:rPr>
        <w:t xml:space="preserve">elemento atenuador de sonido que deja pasar el aire reduciendo la emisión sonora resultante a la salida de la instalación. </w:t>
      </w:r>
    </w:p>
    <w:p w14:paraId="5532AD6A"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Sistema frecuencial: </w:t>
      </w:r>
      <w:r w:rsidRPr="00A6297C">
        <w:rPr>
          <w:rFonts w:ascii="Times New Roman" w:hAnsi="Times New Roman" w:cs="Times New Roman"/>
          <w:color w:val="000000"/>
          <w:sz w:val="24"/>
          <w:szCs w:val="24"/>
        </w:rPr>
        <w:t xml:space="preserve">sistema de funcionamiento de un dispositivo acústico en que la frecuencia dominante del sonido emitido puede variar de forma controlada, manual o automáticamente. </w:t>
      </w:r>
    </w:p>
    <w:p w14:paraId="1433AED3"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lastRenderedPageBreak/>
        <w:t>- Sistema bitonal</w:t>
      </w:r>
      <w:r w:rsidRPr="00A6297C">
        <w:rPr>
          <w:rFonts w:ascii="Times New Roman" w:hAnsi="Times New Roman" w:cs="Times New Roman"/>
          <w:color w:val="000000"/>
          <w:sz w:val="24"/>
          <w:szCs w:val="24"/>
        </w:rPr>
        <w:t xml:space="preserve">: sistema de funcionamiento de un dispositivo acústico en el que existen dos tonos perfectamente diferenciables y que, en su funcionamiento, los utiliza de forma alternativa a intervalos constantes. </w:t>
      </w:r>
    </w:p>
    <w:p w14:paraId="1DC69D09"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Sistema </w:t>
      </w:r>
      <w:proofErr w:type="spellStart"/>
      <w:r w:rsidRPr="00A6297C">
        <w:rPr>
          <w:rFonts w:ascii="Times New Roman" w:hAnsi="Times New Roman" w:cs="Times New Roman"/>
          <w:b/>
          <w:color w:val="000000"/>
          <w:sz w:val="24"/>
          <w:szCs w:val="24"/>
        </w:rPr>
        <w:t>monotonal</w:t>
      </w:r>
      <w:proofErr w:type="spellEnd"/>
      <w:r w:rsidRPr="00A6297C">
        <w:rPr>
          <w:rFonts w:ascii="Times New Roman" w:hAnsi="Times New Roman" w:cs="Times New Roman"/>
          <w:b/>
          <w:color w:val="000000"/>
          <w:sz w:val="24"/>
          <w:szCs w:val="24"/>
        </w:rPr>
        <w:t xml:space="preserve">: </w:t>
      </w:r>
      <w:r w:rsidRPr="00A6297C">
        <w:rPr>
          <w:rFonts w:ascii="Times New Roman" w:hAnsi="Times New Roman" w:cs="Times New Roman"/>
          <w:color w:val="000000"/>
          <w:sz w:val="24"/>
          <w:szCs w:val="24"/>
        </w:rPr>
        <w:t xml:space="preserve">sistema de funcionamiento de un dispositivo acústico en el que predomina un único tono. </w:t>
      </w:r>
    </w:p>
    <w:p w14:paraId="67832793"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Sonido: </w:t>
      </w:r>
      <w:r w:rsidRPr="00A6297C">
        <w:rPr>
          <w:rFonts w:ascii="Times New Roman" w:hAnsi="Times New Roman" w:cs="Times New Roman"/>
          <w:color w:val="000000"/>
          <w:sz w:val="24"/>
          <w:szCs w:val="24"/>
        </w:rPr>
        <w:t xml:space="preserve">vibración mecánica de un medio elástico gaseoso, líquido o sólido a través del </w:t>
      </w:r>
      <w:proofErr w:type="spellStart"/>
      <w:r w:rsidRPr="00A6297C">
        <w:rPr>
          <w:rFonts w:ascii="Times New Roman" w:hAnsi="Times New Roman" w:cs="Times New Roman"/>
          <w:color w:val="000000"/>
          <w:sz w:val="24"/>
          <w:szCs w:val="24"/>
        </w:rPr>
        <w:t>cuál</w:t>
      </w:r>
      <w:proofErr w:type="spellEnd"/>
      <w:r w:rsidRPr="00A6297C">
        <w:rPr>
          <w:rFonts w:ascii="Times New Roman" w:hAnsi="Times New Roman" w:cs="Times New Roman"/>
          <w:color w:val="000000"/>
          <w:sz w:val="24"/>
          <w:szCs w:val="24"/>
        </w:rPr>
        <w:t xml:space="preserve"> se transmite la energía. En el aire, sensación percibida por el oído como resultado de las variaciones rápidas de la presión atmosférica por encima y por debajo de su valor de equilibrio. </w:t>
      </w:r>
    </w:p>
    <w:p w14:paraId="2D923348"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Sonido directo: </w:t>
      </w:r>
      <w:r w:rsidRPr="00A6297C">
        <w:rPr>
          <w:rFonts w:ascii="Times New Roman" w:hAnsi="Times New Roman" w:cs="Times New Roman"/>
          <w:color w:val="000000"/>
          <w:sz w:val="24"/>
          <w:szCs w:val="24"/>
        </w:rPr>
        <w:t xml:space="preserve">sonido que llega a un punto receptor en línea recta directamente desde la fuente, sin ninguna reflexión. </w:t>
      </w:r>
    </w:p>
    <w:p w14:paraId="5CC614D1"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Sonido reflejado: </w:t>
      </w:r>
      <w:r w:rsidRPr="00A6297C">
        <w:rPr>
          <w:rFonts w:ascii="Times New Roman" w:hAnsi="Times New Roman" w:cs="Times New Roman"/>
          <w:color w:val="000000"/>
          <w:sz w:val="24"/>
          <w:szCs w:val="24"/>
        </w:rPr>
        <w:t xml:space="preserve">sonido que llega a un punto receptor después de haber sufrido reflexiones en obstáculos o paredes. Es el sonido en un espacio cerrado como resultado de reflexiones repetidas o dispersión, no incluye el sonido que se transmite directamente de la fuente sin reflexiones. </w:t>
      </w:r>
    </w:p>
    <w:p w14:paraId="36197097"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Suelo flotante: </w:t>
      </w:r>
      <w:r w:rsidRPr="00A6297C">
        <w:rPr>
          <w:rFonts w:ascii="Times New Roman" w:hAnsi="Times New Roman" w:cs="Times New Roman"/>
          <w:color w:val="000000"/>
          <w:sz w:val="24"/>
          <w:szCs w:val="24"/>
        </w:rPr>
        <w:t xml:space="preserve">capa sólida y rígida de masa unitaria adecuada colocada sobre un lecho elástico, sin contactos rígidos con las paredes o el suelo base que sirve de soporte. </w:t>
      </w:r>
    </w:p>
    <w:p w14:paraId="0B938E91" w14:textId="7C6DD299"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Teatro para espectáculos teatrales: </w:t>
      </w:r>
      <w:r w:rsidRPr="00A6297C">
        <w:rPr>
          <w:rFonts w:ascii="Times New Roman" w:hAnsi="Times New Roman" w:cs="Times New Roman"/>
          <w:color w:val="000000"/>
          <w:sz w:val="24"/>
          <w:szCs w:val="24"/>
        </w:rPr>
        <w:t xml:space="preserve">establecimiento destinado a la representación en público y en directo de obras escénicas, teatrales, o de variedades, mediante la utilización aislada o conjunta del lenguaje, la mímica, la música pregrabada o guiñoles y títeres, a cargo de actores o ejecutantes, tanto profesionales como aficionados. No incluye espectáculos musicales con música en directo, tales como ópera, zarzuela, conciertos o recitales de música clásica, flamenco, pop, rock, etc. </w:t>
      </w:r>
    </w:p>
    <w:p w14:paraId="36D0FCA9"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Teatro para espectáculos teatrales y musicales: </w:t>
      </w:r>
      <w:r w:rsidRPr="00A6297C">
        <w:rPr>
          <w:rFonts w:ascii="Times New Roman" w:hAnsi="Times New Roman" w:cs="Times New Roman"/>
          <w:color w:val="000000"/>
          <w:sz w:val="24"/>
          <w:szCs w:val="24"/>
        </w:rPr>
        <w:t xml:space="preserve">establecimiento destinado a la ejecución o representación en público y en directo de espectáculos teatrales o musicales de cualquier tipo, por </w:t>
      </w:r>
      <w:proofErr w:type="gramStart"/>
      <w:r w:rsidRPr="00A6297C">
        <w:rPr>
          <w:rFonts w:ascii="Times New Roman" w:hAnsi="Times New Roman" w:cs="Times New Roman"/>
          <w:color w:val="000000"/>
          <w:sz w:val="24"/>
          <w:szCs w:val="24"/>
        </w:rPr>
        <w:t>tanto</w:t>
      </w:r>
      <w:proofErr w:type="gramEnd"/>
      <w:r w:rsidRPr="00A6297C">
        <w:rPr>
          <w:rFonts w:ascii="Times New Roman" w:hAnsi="Times New Roman" w:cs="Times New Roman"/>
          <w:color w:val="000000"/>
          <w:sz w:val="24"/>
          <w:szCs w:val="24"/>
        </w:rPr>
        <w:t xml:space="preserve"> están incluidas las representaciones, actuaciones o conciertos con música en directo. </w:t>
      </w:r>
    </w:p>
    <w:p w14:paraId="0A79AAC7"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Templado de tráfico: </w:t>
      </w:r>
      <w:r w:rsidRPr="00A6297C">
        <w:rPr>
          <w:rFonts w:ascii="Times New Roman" w:hAnsi="Times New Roman" w:cs="Times New Roman"/>
          <w:color w:val="000000"/>
          <w:sz w:val="24"/>
          <w:szCs w:val="24"/>
        </w:rPr>
        <w:t xml:space="preserve">conjunto de medidas encaminadas a reducir la intensidad y velocidad de los vehículos hasta hacerlos plenamente compatibles con las actividades que se desarrollan en el viario sobre el que se aplica. La utilización de medidas de templado de tráfico tiene por objeto la mejora de la calidad de vida de las áreas residenciales, al reducir sustancialmente el número de accidentes, mejorar las condiciones ambientales del entorno y facilitar el uso en condiciones de seguridad de los espacios públicos. </w:t>
      </w:r>
    </w:p>
    <w:p w14:paraId="78993D6D"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color w:val="000000"/>
          <w:sz w:val="24"/>
          <w:szCs w:val="24"/>
        </w:rPr>
        <w:t xml:space="preserve">- </w:t>
      </w:r>
      <w:r w:rsidRPr="00A6297C">
        <w:rPr>
          <w:rFonts w:ascii="Times New Roman" w:hAnsi="Times New Roman" w:cs="Times New Roman"/>
          <w:b/>
          <w:color w:val="000000"/>
          <w:sz w:val="24"/>
          <w:szCs w:val="24"/>
        </w:rPr>
        <w:t xml:space="preserve">Titular de una actividad: </w:t>
      </w:r>
      <w:r w:rsidRPr="00A6297C">
        <w:rPr>
          <w:rFonts w:ascii="Times New Roman" w:hAnsi="Times New Roman" w:cs="Times New Roman"/>
          <w:color w:val="000000"/>
          <w:sz w:val="24"/>
          <w:szCs w:val="24"/>
        </w:rPr>
        <w:t xml:space="preserve">persona física o jurídica a cuyo nombre se suscribe la actividad. </w:t>
      </w:r>
    </w:p>
    <w:p w14:paraId="29D67416"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color w:val="000000"/>
          <w:sz w:val="24"/>
          <w:szCs w:val="24"/>
        </w:rPr>
        <w:t xml:space="preserve">- </w:t>
      </w:r>
      <w:r w:rsidRPr="00A6297C">
        <w:rPr>
          <w:rFonts w:ascii="Times New Roman" w:hAnsi="Times New Roman" w:cs="Times New Roman"/>
          <w:b/>
          <w:color w:val="000000"/>
          <w:sz w:val="24"/>
          <w:szCs w:val="24"/>
        </w:rPr>
        <w:t xml:space="preserve">Tono puro: </w:t>
      </w:r>
      <w:r w:rsidRPr="00A6297C">
        <w:rPr>
          <w:rFonts w:ascii="Times New Roman" w:hAnsi="Times New Roman" w:cs="Times New Roman"/>
          <w:color w:val="000000"/>
          <w:sz w:val="24"/>
          <w:szCs w:val="24"/>
        </w:rPr>
        <w:t xml:space="preserve">cualquier sonido que pueda ser percibido como un tono único o una sucesión de tonos únicos. </w:t>
      </w:r>
    </w:p>
    <w:p w14:paraId="233042A4"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Transmisión indirecta entre recintos: </w:t>
      </w:r>
      <w:r w:rsidRPr="00A6297C">
        <w:rPr>
          <w:rFonts w:ascii="Times New Roman" w:hAnsi="Times New Roman" w:cs="Times New Roman"/>
          <w:color w:val="000000"/>
          <w:sz w:val="24"/>
          <w:szCs w:val="24"/>
        </w:rPr>
        <w:t xml:space="preserve">transmisión de sonido vía estructural entre un recinto emisor y otro receptor a través de todos sus posibles caminos, salvo por vía aérea directa a través del elemento constructivo separador entre ambos. Entre dos recintos colindantes se contabilizan doce vías de transmisión indirecta más una directa. </w:t>
      </w:r>
    </w:p>
    <w:p w14:paraId="0D794E78"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color w:val="000000"/>
          <w:sz w:val="24"/>
          <w:szCs w:val="24"/>
        </w:rPr>
        <w:lastRenderedPageBreak/>
        <w:t xml:space="preserve">- </w:t>
      </w:r>
      <w:r w:rsidRPr="00A6297C">
        <w:rPr>
          <w:rFonts w:ascii="Times New Roman" w:hAnsi="Times New Roman" w:cs="Times New Roman"/>
          <w:b/>
          <w:color w:val="000000"/>
          <w:sz w:val="24"/>
          <w:szCs w:val="24"/>
        </w:rPr>
        <w:t xml:space="preserve">Valor de ruido transmitido (VRT) o nivel de inmisión en el interior (NII): </w:t>
      </w:r>
      <w:r w:rsidRPr="00A6297C">
        <w:rPr>
          <w:rFonts w:ascii="Times New Roman" w:hAnsi="Times New Roman" w:cs="Times New Roman"/>
          <w:color w:val="000000"/>
          <w:sz w:val="24"/>
          <w:szCs w:val="24"/>
        </w:rPr>
        <w:t xml:space="preserve">nivel sonoro transmitido por el emisor acústico objeto de evaluación en el interior de recintos ajenos acústicamente colindantes con dicho emisor. El valor de ruido transmitido se denomina también nivel de inmisión en el interior (NII) para distinguirlo del nivel de inmisión en el exterior (NIE). </w:t>
      </w:r>
    </w:p>
    <w:p w14:paraId="01C4109D"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Velador: </w:t>
      </w:r>
      <w:r w:rsidRPr="00A6297C">
        <w:rPr>
          <w:rFonts w:ascii="Times New Roman" w:hAnsi="Times New Roman" w:cs="Times New Roman"/>
          <w:color w:val="000000"/>
          <w:sz w:val="24"/>
          <w:szCs w:val="24"/>
        </w:rPr>
        <w:t xml:space="preserve">espacio al aire libre fuera de la parcela de titularidad y uso privado de la actividad, y contiguo a la misma, que requiere una autorización </w:t>
      </w:r>
      <w:proofErr w:type="gramStart"/>
      <w:r w:rsidRPr="00A6297C">
        <w:rPr>
          <w:rFonts w:ascii="Times New Roman" w:hAnsi="Times New Roman" w:cs="Times New Roman"/>
          <w:color w:val="000000"/>
          <w:sz w:val="24"/>
          <w:szCs w:val="24"/>
        </w:rPr>
        <w:t>especifica</w:t>
      </w:r>
      <w:proofErr w:type="gramEnd"/>
      <w:r w:rsidRPr="00A6297C">
        <w:rPr>
          <w:rFonts w:ascii="Times New Roman" w:hAnsi="Times New Roman" w:cs="Times New Roman"/>
          <w:color w:val="000000"/>
          <w:sz w:val="24"/>
          <w:szCs w:val="24"/>
        </w:rPr>
        <w:t xml:space="preserve"> del órgano municipal competente para la ocupación de dicho espacio, donde podrán instalarse mesas y sillas conforme a los módulos tipo, condiciones y períodos establecidos por dicho órgano, en actividades legalizadas y destinadas a restaurantes, autoservicios, cafeterías, bares o bares-kiosco. </w:t>
      </w:r>
    </w:p>
    <w:p w14:paraId="59BE014B"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color w:val="000000"/>
          <w:sz w:val="24"/>
          <w:szCs w:val="24"/>
        </w:rPr>
        <w:t xml:space="preserve">La definición de velador abarca no sólo a su instalación en espacios de uso y dominio públicos, sino que es extensiva también a los espacios libres de dominio privado y uso público. </w:t>
      </w:r>
    </w:p>
    <w:p w14:paraId="6944852B"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Ventana no practicable: </w:t>
      </w:r>
      <w:r w:rsidRPr="00A6297C">
        <w:rPr>
          <w:rFonts w:ascii="Times New Roman" w:hAnsi="Times New Roman" w:cs="Times New Roman"/>
          <w:color w:val="000000"/>
          <w:sz w:val="24"/>
          <w:szCs w:val="24"/>
        </w:rPr>
        <w:t xml:space="preserve">ventana sin dispositivos de apertura, o con éstos anulados. </w:t>
      </w:r>
    </w:p>
    <w:p w14:paraId="04B5BB2F"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Vestíbulo acústico: </w:t>
      </w:r>
      <w:r w:rsidRPr="00A6297C">
        <w:rPr>
          <w:rFonts w:ascii="Times New Roman" w:hAnsi="Times New Roman" w:cs="Times New Roman"/>
          <w:color w:val="000000"/>
          <w:sz w:val="24"/>
          <w:szCs w:val="24"/>
        </w:rPr>
        <w:t xml:space="preserve">vestíbulo previo que se dispone en los accesos o salidas de una actividad, salvo en salidas de emergencia, que tiene por objeto aislarla acústicamente del exterior y reúne las siguientes características: </w:t>
      </w:r>
    </w:p>
    <w:p w14:paraId="156FED0B" w14:textId="568E478D"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color w:val="000000"/>
          <w:sz w:val="24"/>
          <w:szCs w:val="24"/>
        </w:rPr>
        <w:t xml:space="preserve">a) puertas acústicas interiores y exteriores con sistema de retorno a posición de cierre y un aislamiento acústico mínimo de </w:t>
      </w:r>
      <w:proofErr w:type="spellStart"/>
      <w:r w:rsidRPr="00A6297C">
        <w:rPr>
          <w:rFonts w:ascii="Times New Roman" w:hAnsi="Times New Roman" w:cs="Times New Roman"/>
          <w:color w:val="000000"/>
          <w:sz w:val="24"/>
          <w:szCs w:val="24"/>
        </w:rPr>
        <w:t>Rw</w:t>
      </w:r>
      <w:proofErr w:type="spellEnd"/>
      <w:r w:rsidRPr="00A6297C">
        <w:rPr>
          <w:rFonts w:ascii="Times New Roman" w:hAnsi="Times New Roman" w:cs="Times New Roman"/>
          <w:color w:val="000000"/>
          <w:sz w:val="24"/>
          <w:szCs w:val="24"/>
        </w:rPr>
        <w:t xml:space="preserve"> + C ≥ 38 </w:t>
      </w:r>
      <w:proofErr w:type="spellStart"/>
      <w:r w:rsidRPr="00A6297C">
        <w:rPr>
          <w:rFonts w:ascii="Times New Roman" w:hAnsi="Times New Roman" w:cs="Times New Roman"/>
          <w:color w:val="000000"/>
          <w:sz w:val="24"/>
          <w:szCs w:val="24"/>
        </w:rPr>
        <w:t>dBA</w:t>
      </w:r>
      <w:proofErr w:type="spellEnd"/>
      <w:r w:rsidRPr="00A6297C">
        <w:rPr>
          <w:rFonts w:ascii="Times New Roman" w:hAnsi="Times New Roman" w:cs="Times New Roman"/>
          <w:color w:val="000000"/>
          <w:sz w:val="24"/>
          <w:szCs w:val="24"/>
        </w:rPr>
        <w:t xml:space="preserve"> o </w:t>
      </w:r>
      <w:proofErr w:type="spellStart"/>
      <w:r w:rsidRPr="00A6297C">
        <w:rPr>
          <w:rFonts w:ascii="Times New Roman" w:hAnsi="Times New Roman" w:cs="Times New Roman"/>
          <w:color w:val="000000"/>
          <w:sz w:val="24"/>
          <w:szCs w:val="24"/>
        </w:rPr>
        <w:t>Rw</w:t>
      </w:r>
      <w:proofErr w:type="spellEnd"/>
      <w:r w:rsidRPr="00A6297C">
        <w:rPr>
          <w:rFonts w:ascii="Times New Roman" w:hAnsi="Times New Roman" w:cs="Times New Roman"/>
          <w:color w:val="000000"/>
          <w:sz w:val="24"/>
          <w:szCs w:val="24"/>
        </w:rPr>
        <w:t xml:space="preserve"> + </w:t>
      </w:r>
      <w:proofErr w:type="spellStart"/>
      <w:r w:rsidRPr="00A6297C">
        <w:rPr>
          <w:rFonts w:ascii="Times New Roman" w:hAnsi="Times New Roman" w:cs="Times New Roman"/>
          <w:color w:val="000000"/>
          <w:sz w:val="24"/>
          <w:szCs w:val="24"/>
        </w:rPr>
        <w:t>Ctr</w:t>
      </w:r>
      <w:proofErr w:type="spellEnd"/>
      <w:r w:rsidRPr="00A6297C">
        <w:rPr>
          <w:rFonts w:ascii="Times New Roman" w:hAnsi="Times New Roman" w:cs="Times New Roman"/>
          <w:color w:val="000000"/>
          <w:sz w:val="24"/>
          <w:szCs w:val="24"/>
        </w:rPr>
        <w:t xml:space="preserve"> ≥ 38 </w:t>
      </w:r>
      <w:proofErr w:type="spellStart"/>
      <w:r w:rsidRPr="00A6297C">
        <w:rPr>
          <w:rFonts w:ascii="Times New Roman" w:hAnsi="Times New Roman" w:cs="Times New Roman"/>
          <w:color w:val="000000"/>
          <w:sz w:val="24"/>
          <w:szCs w:val="24"/>
        </w:rPr>
        <w:t>dBA</w:t>
      </w:r>
      <w:proofErr w:type="spellEnd"/>
      <w:r w:rsidRPr="00A6297C">
        <w:rPr>
          <w:rFonts w:ascii="Times New Roman" w:hAnsi="Times New Roman" w:cs="Times New Roman"/>
          <w:color w:val="000000"/>
          <w:sz w:val="24"/>
          <w:szCs w:val="24"/>
        </w:rPr>
        <w:t xml:space="preserve">, justificado con documentación técnica del fabricante teniendo en cuenta el ensayo realizado por laboratorio acreditado. </w:t>
      </w:r>
    </w:p>
    <w:p w14:paraId="01E57253"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color w:val="000000"/>
          <w:sz w:val="24"/>
          <w:szCs w:val="24"/>
        </w:rPr>
        <w:t xml:space="preserve">b) dimensiones conforme a la legislación aplicable, debiendo, en todo caso, poder inscribirse en dicho vestíbulo una circunferencia de 1,50 m de diámetro en el área no barrida por el giro de las puertas. </w:t>
      </w:r>
    </w:p>
    <w:p w14:paraId="5A5F9DE3"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color w:val="000000"/>
          <w:sz w:val="24"/>
          <w:szCs w:val="24"/>
        </w:rPr>
        <w:t xml:space="preserve">c) los elementos constructivos del vestíbulo previo deberán tener como mínimo el mismo aislamiento acústico de sus puertas, debiéndose justificar documentalmente. </w:t>
      </w:r>
    </w:p>
    <w:p w14:paraId="2138EF1A" w14:textId="77777777" w:rsidR="00A6297C" w:rsidRP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Vibración: </w:t>
      </w:r>
      <w:r w:rsidRPr="00A6297C">
        <w:rPr>
          <w:rFonts w:ascii="Times New Roman" w:hAnsi="Times New Roman" w:cs="Times New Roman"/>
          <w:color w:val="000000"/>
          <w:sz w:val="24"/>
          <w:szCs w:val="24"/>
        </w:rPr>
        <w:t xml:space="preserve">energía que se manifiesta en forma de oscilaciones rápidas cuando en determinados cuerpos o superficies actúan una o varias fuerzas que los sacan de su posición de equilibrio. </w:t>
      </w:r>
    </w:p>
    <w:p w14:paraId="6C95365B" w14:textId="20397690" w:rsidR="00A6297C" w:rsidRDefault="00A6297C" w:rsidP="00A6297C">
      <w:pPr>
        <w:pStyle w:val="Estilo1"/>
        <w:spacing w:before="200" w:after="200"/>
        <w:rPr>
          <w:rFonts w:ascii="Times New Roman" w:hAnsi="Times New Roman" w:cs="Times New Roman"/>
          <w:color w:val="000000"/>
          <w:sz w:val="24"/>
          <w:szCs w:val="24"/>
        </w:rPr>
      </w:pPr>
      <w:r w:rsidRPr="00A6297C">
        <w:rPr>
          <w:rFonts w:ascii="Times New Roman" w:hAnsi="Times New Roman" w:cs="Times New Roman"/>
          <w:b/>
          <w:color w:val="000000"/>
          <w:sz w:val="24"/>
          <w:szCs w:val="24"/>
        </w:rPr>
        <w:t xml:space="preserve">- Visor: </w:t>
      </w:r>
      <w:r w:rsidRPr="00A6297C">
        <w:rPr>
          <w:rFonts w:ascii="Times New Roman" w:hAnsi="Times New Roman" w:cs="Times New Roman"/>
          <w:color w:val="000000"/>
          <w:sz w:val="24"/>
          <w:szCs w:val="24"/>
        </w:rPr>
        <w:t>véase “ventana no practicable”.</w:t>
      </w:r>
    </w:p>
    <w:sectPr w:rsidR="00A6297C" w:rsidSect="000A3EFC">
      <w:headerReference w:type="default" r:id="rId7"/>
      <w:footerReference w:type="default" r:id="rId8"/>
      <w:pgSz w:w="11906" w:h="16838"/>
      <w:pgMar w:top="2127" w:right="1274" w:bottom="1560" w:left="1560" w:header="426" w:footer="2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8AA7F" w14:textId="77777777" w:rsidR="00311F32" w:rsidRDefault="00311F32" w:rsidP="00F85644">
      <w:pPr>
        <w:spacing w:before="0" w:after="0" w:line="240" w:lineRule="auto"/>
      </w:pPr>
      <w:r>
        <w:separator/>
      </w:r>
    </w:p>
  </w:endnote>
  <w:endnote w:type="continuationSeparator" w:id="0">
    <w:p w14:paraId="1A7AE340" w14:textId="77777777" w:rsidR="00311F32" w:rsidRDefault="00311F32" w:rsidP="00F8564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9863914"/>
      <w:docPartObj>
        <w:docPartGallery w:val="Page Numbers (Bottom of Page)"/>
        <w:docPartUnique/>
      </w:docPartObj>
    </w:sdtPr>
    <w:sdtContent>
      <w:p w14:paraId="45C3C764" w14:textId="30F643E9" w:rsidR="000A3EFC" w:rsidRDefault="000A3EFC" w:rsidP="000A3EFC">
        <w:pPr>
          <w:pStyle w:val="Piedepgina"/>
          <w:tabs>
            <w:tab w:val="clear" w:pos="8504"/>
          </w:tabs>
          <w:ind w:right="-142"/>
          <w:jc w:val="right"/>
        </w:pPr>
        <w:r>
          <w:fldChar w:fldCharType="begin"/>
        </w:r>
        <w:r>
          <w:instrText>PAGE   \* MERGEFORMAT</w:instrText>
        </w:r>
        <w:r>
          <w:fldChar w:fldCharType="separate"/>
        </w:r>
        <w:r>
          <w:t>2</w:t>
        </w:r>
        <w:r>
          <w:fldChar w:fldCharType="end"/>
        </w:r>
      </w:p>
    </w:sdtContent>
  </w:sdt>
  <w:p w14:paraId="4865874F" w14:textId="77777777" w:rsidR="000A3EFC" w:rsidRDefault="000A3EF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A5EF8" w14:textId="77777777" w:rsidR="00311F32" w:rsidRDefault="00311F32" w:rsidP="00F85644">
      <w:pPr>
        <w:spacing w:before="0" w:after="0" w:line="240" w:lineRule="auto"/>
      </w:pPr>
      <w:r>
        <w:separator/>
      </w:r>
    </w:p>
  </w:footnote>
  <w:footnote w:type="continuationSeparator" w:id="0">
    <w:p w14:paraId="10B8496F" w14:textId="77777777" w:rsidR="00311F32" w:rsidRDefault="00311F32" w:rsidP="00F8564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CE6A5" w14:textId="44408CA3" w:rsidR="00F85644" w:rsidRDefault="00F85644" w:rsidP="00F85644">
    <w:pPr>
      <w:pStyle w:val="Encabezado"/>
      <w:ind w:left="-567"/>
    </w:pPr>
    <w:r>
      <w:rPr>
        <w:noProof/>
      </w:rPr>
      <w:drawing>
        <wp:inline distT="0" distB="0" distL="0" distR="0" wp14:anchorId="51CEFA44" wp14:editId="253486F9">
          <wp:extent cx="810883" cy="849221"/>
          <wp:effectExtent l="0" t="0" r="8890" b="8255"/>
          <wp:docPr id="1440804852"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61843" name="Imagen 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2459" cy="871817"/>
                  </a:xfrm>
                  <a:prstGeom prst="rect">
                    <a:avLst/>
                  </a:prstGeom>
                  <a:noFill/>
                  <a:ln>
                    <a:noFill/>
                  </a:ln>
                </pic:spPr>
              </pic:pic>
            </a:graphicData>
          </a:graphic>
        </wp:inline>
      </w:drawing>
    </w:r>
  </w:p>
  <w:p w14:paraId="1C8A4323" w14:textId="77777777" w:rsidR="00F85644" w:rsidRDefault="00F8564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11256"/>
    <w:multiLevelType w:val="hybridMultilevel"/>
    <w:tmpl w:val="BE1CE56E"/>
    <w:lvl w:ilvl="0" w:tplc="6B38B0C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0FD7DC4"/>
    <w:multiLevelType w:val="hybridMultilevel"/>
    <w:tmpl w:val="47A4F1B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3B5297E"/>
    <w:multiLevelType w:val="hybridMultilevel"/>
    <w:tmpl w:val="DA78A620"/>
    <w:lvl w:ilvl="0" w:tplc="18327B04">
      <w:start w:val="1"/>
      <w:numFmt w:val="decimal"/>
      <w:lvlText w:val="(%1)"/>
      <w:lvlJc w:val="left"/>
      <w:pPr>
        <w:ind w:left="744" w:hanging="384"/>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40B1C41"/>
    <w:multiLevelType w:val="hybridMultilevel"/>
    <w:tmpl w:val="47A4F1B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D421945"/>
    <w:multiLevelType w:val="hybridMultilevel"/>
    <w:tmpl w:val="47A4F1B8"/>
    <w:lvl w:ilvl="0" w:tplc="DF2C3C4E">
      <w:start w:val="1"/>
      <w:numFmt w:val="decimal"/>
      <w:lvlText w:val="(%1)"/>
      <w:lvlJc w:val="left"/>
      <w:pPr>
        <w:ind w:left="720" w:hanging="360"/>
      </w:pPr>
      <w:rPr>
        <w:rFonts w:hint="default"/>
        <w:b/>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8C002D3"/>
    <w:multiLevelType w:val="hybridMultilevel"/>
    <w:tmpl w:val="47A4F1B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A025241"/>
    <w:multiLevelType w:val="hybridMultilevel"/>
    <w:tmpl w:val="DD325C2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DA54B6B"/>
    <w:multiLevelType w:val="multilevel"/>
    <w:tmpl w:val="1C2C0D20"/>
    <w:lvl w:ilvl="0">
      <w:start w:val="1"/>
      <w:numFmt w:val="decimal"/>
      <w:pStyle w:val="Ttulo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4DA5592"/>
    <w:multiLevelType w:val="hybridMultilevel"/>
    <w:tmpl w:val="47A4F1B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74E79B4"/>
    <w:multiLevelType w:val="hybridMultilevel"/>
    <w:tmpl w:val="8D4E8F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9B05998"/>
    <w:multiLevelType w:val="hybridMultilevel"/>
    <w:tmpl w:val="FB6E4B02"/>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AE52A8B"/>
    <w:multiLevelType w:val="hybridMultilevel"/>
    <w:tmpl w:val="B5309B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F8D52B9"/>
    <w:multiLevelType w:val="hybridMultilevel"/>
    <w:tmpl w:val="4C76E420"/>
    <w:lvl w:ilvl="0" w:tplc="DFCAF088">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5F20B6F"/>
    <w:multiLevelType w:val="hybridMultilevel"/>
    <w:tmpl w:val="FB6E4B02"/>
    <w:lvl w:ilvl="0" w:tplc="640EEADE">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8274085"/>
    <w:multiLevelType w:val="hybridMultilevel"/>
    <w:tmpl w:val="47A4F1B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1032195"/>
    <w:multiLevelType w:val="hybridMultilevel"/>
    <w:tmpl w:val="0798CD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45171A5"/>
    <w:multiLevelType w:val="hybridMultilevel"/>
    <w:tmpl w:val="856E444E"/>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AB21686"/>
    <w:multiLevelType w:val="hybridMultilevel"/>
    <w:tmpl w:val="47A4F1B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B2610D9"/>
    <w:multiLevelType w:val="hybridMultilevel"/>
    <w:tmpl w:val="2676F9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D0A1FFB"/>
    <w:multiLevelType w:val="hybridMultilevel"/>
    <w:tmpl w:val="76AAF2AC"/>
    <w:lvl w:ilvl="0" w:tplc="C77A3EDA">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9FF3782"/>
    <w:multiLevelType w:val="hybridMultilevel"/>
    <w:tmpl w:val="8816359E"/>
    <w:lvl w:ilvl="0" w:tplc="FD762E8E">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0083CAA"/>
    <w:multiLevelType w:val="hybridMultilevel"/>
    <w:tmpl w:val="42B0DD44"/>
    <w:lvl w:ilvl="0" w:tplc="E7C2B3B8">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5BE5889"/>
    <w:multiLevelType w:val="hybridMultilevel"/>
    <w:tmpl w:val="5BE4BAA0"/>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8290DF6"/>
    <w:multiLevelType w:val="hybridMultilevel"/>
    <w:tmpl w:val="258A62A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69041416">
    <w:abstractNumId w:val="19"/>
  </w:num>
  <w:num w:numId="2" w16cid:durableId="1605770741">
    <w:abstractNumId w:val="7"/>
  </w:num>
  <w:num w:numId="3" w16cid:durableId="149180034">
    <w:abstractNumId w:val="2"/>
  </w:num>
  <w:num w:numId="4" w16cid:durableId="1431001676">
    <w:abstractNumId w:val="4"/>
  </w:num>
  <w:num w:numId="5" w16cid:durableId="427233807">
    <w:abstractNumId w:val="5"/>
  </w:num>
  <w:num w:numId="6" w16cid:durableId="1357387820">
    <w:abstractNumId w:val="17"/>
  </w:num>
  <w:num w:numId="7" w16cid:durableId="260187530">
    <w:abstractNumId w:val="3"/>
  </w:num>
  <w:num w:numId="8" w16cid:durableId="2019119411">
    <w:abstractNumId w:val="8"/>
  </w:num>
  <w:num w:numId="9" w16cid:durableId="1841575817">
    <w:abstractNumId w:val="14"/>
  </w:num>
  <w:num w:numId="10" w16cid:durableId="393550842">
    <w:abstractNumId w:val="1"/>
  </w:num>
  <w:num w:numId="11" w16cid:durableId="1966884365">
    <w:abstractNumId w:val="13"/>
  </w:num>
  <w:num w:numId="12" w16cid:durableId="1729062786">
    <w:abstractNumId w:val="10"/>
  </w:num>
  <w:num w:numId="13" w16cid:durableId="1207334318">
    <w:abstractNumId w:val="18"/>
  </w:num>
  <w:num w:numId="14" w16cid:durableId="1204320316">
    <w:abstractNumId w:val="12"/>
  </w:num>
  <w:num w:numId="15" w16cid:durableId="1048148587">
    <w:abstractNumId w:val="22"/>
  </w:num>
  <w:num w:numId="16" w16cid:durableId="1155102305">
    <w:abstractNumId w:val="9"/>
  </w:num>
  <w:num w:numId="17" w16cid:durableId="797139431">
    <w:abstractNumId w:val="0"/>
  </w:num>
  <w:num w:numId="18" w16cid:durableId="1185830033">
    <w:abstractNumId w:val="23"/>
  </w:num>
  <w:num w:numId="19" w16cid:durableId="1592733670">
    <w:abstractNumId w:val="11"/>
  </w:num>
  <w:num w:numId="20" w16cid:durableId="725376903">
    <w:abstractNumId w:val="20"/>
  </w:num>
  <w:num w:numId="21" w16cid:durableId="1111975421">
    <w:abstractNumId w:val="6"/>
  </w:num>
  <w:num w:numId="22" w16cid:durableId="704330103">
    <w:abstractNumId w:val="15"/>
  </w:num>
  <w:num w:numId="23" w16cid:durableId="37705052">
    <w:abstractNumId w:val="21"/>
  </w:num>
  <w:num w:numId="24" w16cid:durableId="3680707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034"/>
    <w:rsid w:val="00025097"/>
    <w:rsid w:val="00041C1B"/>
    <w:rsid w:val="00062B22"/>
    <w:rsid w:val="00096982"/>
    <w:rsid w:val="000A3EFC"/>
    <w:rsid w:val="000C3E17"/>
    <w:rsid w:val="000F64C5"/>
    <w:rsid w:val="001B0A85"/>
    <w:rsid w:val="001C4158"/>
    <w:rsid w:val="00257B49"/>
    <w:rsid w:val="0028725C"/>
    <w:rsid w:val="00311F32"/>
    <w:rsid w:val="00371E4E"/>
    <w:rsid w:val="003B0C0E"/>
    <w:rsid w:val="00450BB7"/>
    <w:rsid w:val="00484144"/>
    <w:rsid w:val="004B77BC"/>
    <w:rsid w:val="004E3F02"/>
    <w:rsid w:val="00500EA7"/>
    <w:rsid w:val="0052327F"/>
    <w:rsid w:val="0055741F"/>
    <w:rsid w:val="005C1831"/>
    <w:rsid w:val="00682227"/>
    <w:rsid w:val="006924FE"/>
    <w:rsid w:val="006D3A57"/>
    <w:rsid w:val="007055C6"/>
    <w:rsid w:val="0076279D"/>
    <w:rsid w:val="00796956"/>
    <w:rsid w:val="007B1BE0"/>
    <w:rsid w:val="00857618"/>
    <w:rsid w:val="00867203"/>
    <w:rsid w:val="008C59E9"/>
    <w:rsid w:val="008C7034"/>
    <w:rsid w:val="00906174"/>
    <w:rsid w:val="0090673D"/>
    <w:rsid w:val="009334D2"/>
    <w:rsid w:val="0093463D"/>
    <w:rsid w:val="00945DC3"/>
    <w:rsid w:val="009536D6"/>
    <w:rsid w:val="00960AE9"/>
    <w:rsid w:val="009660A7"/>
    <w:rsid w:val="00A6297C"/>
    <w:rsid w:val="00AA5775"/>
    <w:rsid w:val="00AC37B2"/>
    <w:rsid w:val="00B577F1"/>
    <w:rsid w:val="00BA541E"/>
    <w:rsid w:val="00BD30F2"/>
    <w:rsid w:val="00C11880"/>
    <w:rsid w:val="00C86EC5"/>
    <w:rsid w:val="00D1662F"/>
    <w:rsid w:val="00D33B48"/>
    <w:rsid w:val="00D45F5C"/>
    <w:rsid w:val="00DC41C7"/>
    <w:rsid w:val="00DD1834"/>
    <w:rsid w:val="00E47E1A"/>
    <w:rsid w:val="00E520A6"/>
    <w:rsid w:val="00E777B8"/>
    <w:rsid w:val="00E920B4"/>
    <w:rsid w:val="00E95FBC"/>
    <w:rsid w:val="00ED0296"/>
    <w:rsid w:val="00F11C85"/>
    <w:rsid w:val="00F146A2"/>
    <w:rsid w:val="00F553F2"/>
    <w:rsid w:val="00F57C56"/>
    <w:rsid w:val="00F64A63"/>
    <w:rsid w:val="00F85644"/>
    <w:rsid w:val="00F85E43"/>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C071"/>
  <w15:chartTrackingRefBased/>
  <w15:docId w15:val="{DD9F0554-83D5-4C3E-8DDB-547F55CFF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14:ligatures w14:val="standardContextual"/>
      </w:rPr>
    </w:rPrDefault>
    <w:pPrDefault>
      <w:pPr>
        <w:spacing w:before="100" w:after="100" w:line="10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618"/>
  </w:style>
  <w:style w:type="paragraph" w:styleId="Ttulo1">
    <w:name w:val="heading 1"/>
    <w:basedOn w:val="Normal"/>
    <w:next w:val="Normal"/>
    <w:link w:val="Ttulo1Car"/>
    <w:autoRedefine/>
    <w:uiPriority w:val="9"/>
    <w:qFormat/>
    <w:rsid w:val="00857618"/>
    <w:pPr>
      <w:keepNext/>
      <w:keepLines/>
      <w:spacing w:before="240" w:after="0"/>
      <w:outlineLvl w:val="0"/>
    </w:pPr>
    <w:rPr>
      <w:rFonts w:eastAsiaTheme="majorEastAsia" w:cstheme="majorBidi"/>
      <w:b/>
      <w:sz w:val="24"/>
      <w:szCs w:val="32"/>
    </w:rPr>
  </w:style>
  <w:style w:type="paragraph" w:styleId="Ttulo2">
    <w:name w:val="heading 2"/>
    <w:basedOn w:val="Normal"/>
    <w:next w:val="Normal"/>
    <w:link w:val="Ttulo2Car"/>
    <w:uiPriority w:val="9"/>
    <w:unhideWhenUsed/>
    <w:qFormat/>
    <w:rsid w:val="00857618"/>
    <w:pPr>
      <w:keepNext/>
      <w:keepLines/>
      <w:numPr>
        <w:numId w:val="2"/>
      </w:numPr>
      <w:spacing w:before="160" w:after="120"/>
      <w:ind w:hanging="360"/>
      <w:outlineLvl w:val="1"/>
    </w:pPr>
    <w:rPr>
      <w:rFonts w:eastAsiaTheme="majorEastAsia" w:cstheme="majorBidi"/>
      <w:b/>
      <w:sz w:val="24"/>
      <w:szCs w:val="26"/>
    </w:rPr>
  </w:style>
  <w:style w:type="paragraph" w:styleId="Ttulo3">
    <w:name w:val="heading 3"/>
    <w:basedOn w:val="Normal"/>
    <w:next w:val="Normal"/>
    <w:link w:val="Ttulo3Car"/>
    <w:uiPriority w:val="9"/>
    <w:semiHidden/>
    <w:unhideWhenUsed/>
    <w:qFormat/>
    <w:rsid w:val="008C703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C703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C703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C703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C703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C703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C703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57618"/>
    <w:rPr>
      <w:rFonts w:eastAsiaTheme="majorEastAsia" w:cstheme="majorBidi"/>
      <w:b/>
      <w:sz w:val="24"/>
      <w:szCs w:val="32"/>
    </w:rPr>
  </w:style>
  <w:style w:type="character" w:customStyle="1" w:styleId="Ttulo2Car">
    <w:name w:val="Título 2 Car"/>
    <w:basedOn w:val="Fuentedeprrafopredeter"/>
    <w:link w:val="Ttulo2"/>
    <w:uiPriority w:val="9"/>
    <w:rsid w:val="00857618"/>
    <w:rPr>
      <w:rFonts w:eastAsiaTheme="majorEastAsia" w:cstheme="majorBidi"/>
      <w:b/>
      <w:sz w:val="24"/>
      <w:szCs w:val="26"/>
    </w:rPr>
  </w:style>
  <w:style w:type="character" w:customStyle="1" w:styleId="Ttulo3Car">
    <w:name w:val="Título 3 Car"/>
    <w:basedOn w:val="Fuentedeprrafopredeter"/>
    <w:link w:val="Ttulo3"/>
    <w:uiPriority w:val="9"/>
    <w:semiHidden/>
    <w:rsid w:val="008C703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C703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C703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C703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C703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C703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C7034"/>
    <w:rPr>
      <w:rFonts w:eastAsiaTheme="majorEastAsia" w:cstheme="majorBidi"/>
      <w:color w:val="272727" w:themeColor="text1" w:themeTint="D8"/>
    </w:rPr>
  </w:style>
  <w:style w:type="paragraph" w:styleId="Ttulo">
    <w:name w:val="Title"/>
    <w:basedOn w:val="Normal"/>
    <w:next w:val="Normal"/>
    <w:link w:val="TtuloCar"/>
    <w:uiPriority w:val="10"/>
    <w:qFormat/>
    <w:rsid w:val="008C70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C703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C703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C703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C7034"/>
    <w:pPr>
      <w:spacing w:before="160"/>
      <w:jc w:val="center"/>
    </w:pPr>
    <w:rPr>
      <w:i/>
      <w:iCs/>
      <w:color w:val="404040" w:themeColor="text1" w:themeTint="BF"/>
    </w:rPr>
  </w:style>
  <w:style w:type="character" w:customStyle="1" w:styleId="CitaCar">
    <w:name w:val="Cita Car"/>
    <w:basedOn w:val="Fuentedeprrafopredeter"/>
    <w:link w:val="Cita"/>
    <w:uiPriority w:val="29"/>
    <w:rsid w:val="008C7034"/>
    <w:rPr>
      <w:i/>
      <w:iCs/>
      <w:color w:val="404040" w:themeColor="text1" w:themeTint="BF"/>
    </w:rPr>
  </w:style>
  <w:style w:type="paragraph" w:styleId="Prrafodelista">
    <w:name w:val="List Paragraph"/>
    <w:basedOn w:val="Normal"/>
    <w:uiPriority w:val="34"/>
    <w:qFormat/>
    <w:rsid w:val="008C7034"/>
    <w:pPr>
      <w:ind w:left="720"/>
      <w:contextualSpacing/>
    </w:pPr>
  </w:style>
  <w:style w:type="character" w:styleId="nfasisintenso">
    <w:name w:val="Intense Emphasis"/>
    <w:basedOn w:val="Fuentedeprrafopredeter"/>
    <w:uiPriority w:val="21"/>
    <w:qFormat/>
    <w:rsid w:val="008C7034"/>
    <w:rPr>
      <w:i/>
      <w:iCs/>
      <w:color w:val="0F4761" w:themeColor="accent1" w:themeShade="BF"/>
    </w:rPr>
  </w:style>
  <w:style w:type="paragraph" w:styleId="Citadestacada">
    <w:name w:val="Intense Quote"/>
    <w:basedOn w:val="Normal"/>
    <w:next w:val="Normal"/>
    <w:link w:val="CitadestacadaCar"/>
    <w:uiPriority w:val="30"/>
    <w:qFormat/>
    <w:rsid w:val="008C70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C7034"/>
    <w:rPr>
      <w:i/>
      <w:iCs/>
      <w:color w:val="0F4761" w:themeColor="accent1" w:themeShade="BF"/>
    </w:rPr>
  </w:style>
  <w:style w:type="character" w:styleId="Referenciaintensa">
    <w:name w:val="Intense Reference"/>
    <w:basedOn w:val="Fuentedeprrafopredeter"/>
    <w:uiPriority w:val="32"/>
    <w:qFormat/>
    <w:rsid w:val="008C7034"/>
    <w:rPr>
      <w:b/>
      <w:bCs/>
      <w:smallCaps/>
      <w:color w:val="0F4761" w:themeColor="accent1" w:themeShade="BF"/>
      <w:spacing w:val="5"/>
    </w:rPr>
  </w:style>
  <w:style w:type="paragraph" w:customStyle="1" w:styleId="Estilo1">
    <w:name w:val="Estilo1"/>
    <w:basedOn w:val="NormalWeb"/>
    <w:rsid w:val="00F85644"/>
    <w:pPr>
      <w:widowControl w:val="0"/>
      <w:suppressAutoHyphens/>
    </w:pPr>
    <w:rPr>
      <w:rFonts w:ascii="Arial" w:eastAsia="Times New Roman" w:hAnsi="Arial" w:cs="Arial"/>
      <w:bCs/>
      <w:kern w:val="1"/>
      <w:sz w:val="20"/>
      <w:szCs w:val="20"/>
      <w:lang w:eastAsia="ar-SA"/>
      <w14:ligatures w14:val="none"/>
    </w:rPr>
  </w:style>
  <w:style w:type="paragraph" w:styleId="NormalWeb">
    <w:name w:val="Normal (Web)"/>
    <w:basedOn w:val="Normal"/>
    <w:uiPriority w:val="99"/>
    <w:semiHidden/>
    <w:unhideWhenUsed/>
    <w:rsid w:val="00F85644"/>
    <w:rPr>
      <w:rFonts w:ascii="Times New Roman" w:hAnsi="Times New Roman" w:cs="Times New Roman"/>
      <w:sz w:val="24"/>
      <w:szCs w:val="24"/>
    </w:rPr>
  </w:style>
  <w:style w:type="character" w:customStyle="1" w:styleId="Fuentedeprrafopredeter2">
    <w:name w:val="Fuente de párrafo predeter.2"/>
    <w:rsid w:val="00F85644"/>
  </w:style>
  <w:style w:type="paragraph" w:styleId="Encabezado">
    <w:name w:val="header"/>
    <w:basedOn w:val="Normal"/>
    <w:link w:val="EncabezadoCar"/>
    <w:uiPriority w:val="99"/>
    <w:unhideWhenUsed/>
    <w:rsid w:val="00F856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85644"/>
  </w:style>
  <w:style w:type="paragraph" w:styleId="Piedepgina">
    <w:name w:val="footer"/>
    <w:basedOn w:val="Normal"/>
    <w:link w:val="PiedepginaCar"/>
    <w:uiPriority w:val="99"/>
    <w:unhideWhenUsed/>
    <w:rsid w:val="00F856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85644"/>
  </w:style>
  <w:style w:type="paragraph" w:customStyle="1" w:styleId="Default">
    <w:name w:val="Default"/>
    <w:rsid w:val="009334D2"/>
    <w:pPr>
      <w:autoSpaceDE w:val="0"/>
      <w:autoSpaceDN w:val="0"/>
      <w:adjustRightInd w:val="0"/>
      <w:spacing w:before="0" w:after="0" w:line="240" w:lineRule="auto"/>
      <w:jc w:val="left"/>
    </w:pPr>
    <w:rPr>
      <w:rFonts w:ascii="Times New Roman" w:hAnsi="Times New Roman" w:cs="Times New Roman"/>
      <w:color w:val="000000"/>
      <w:sz w:val="24"/>
      <w:szCs w:val="24"/>
    </w:rPr>
  </w:style>
  <w:style w:type="character" w:styleId="Textodelmarcadordeposicin">
    <w:name w:val="Placeholder Text"/>
    <w:basedOn w:val="Fuentedeprrafopredeter"/>
    <w:uiPriority w:val="99"/>
    <w:semiHidden/>
    <w:rsid w:val="00DC41C7"/>
    <w:rPr>
      <w:color w:val="666666"/>
    </w:rPr>
  </w:style>
  <w:style w:type="character" w:styleId="Refdecomentario">
    <w:name w:val="annotation reference"/>
    <w:basedOn w:val="Fuentedeprrafopredeter"/>
    <w:uiPriority w:val="99"/>
    <w:semiHidden/>
    <w:unhideWhenUsed/>
    <w:rsid w:val="001B0A85"/>
    <w:rPr>
      <w:sz w:val="16"/>
      <w:szCs w:val="16"/>
    </w:rPr>
  </w:style>
  <w:style w:type="paragraph" w:styleId="Textocomentario">
    <w:name w:val="annotation text"/>
    <w:basedOn w:val="Normal"/>
    <w:link w:val="TextocomentarioCar"/>
    <w:uiPriority w:val="99"/>
    <w:unhideWhenUsed/>
    <w:rsid w:val="001B0A85"/>
    <w:pPr>
      <w:spacing w:line="240" w:lineRule="auto"/>
    </w:pPr>
    <w:rPr>
      <w:sz w:val="20"/>
      <w:szCs w:val="20"/>
    </w:rPr>
  </w:style>
  <w:style w:type="character" w:customStyle="1" w:styleId="TextocomentarioCar">
    <w:name w:val="Texto comentario Car"/>
    <w:basedOn w:val="Fuentedeprrafopredeter"/>
    <w:link w:val="Textocomentario"/>
    <w:uiPriority w:val="99"/>
    <w:rsid w:val="001B0A85"/>
    <w:rPr>
      <w:sz w:val="20"/>
      <w:szCs w:val="20"/>
    </w:rPr>
  </w:style>
  <w:style w:type="paragraph" w:styleId="Asuntodelcomentario">
    <w:name w:val="annotation subject"/>
    <w:basedOn w:val="Textocomentario"/>
    <w:next w:val="Textocomentario"/>
    <w:link w:val="AsuntodelcomentarioCar"/>
    <w:uiPriority w:val="99"/>
    <w:semiHidden/>
    <w:unhideWhenUsed/>
    <w:rsid w:val="001B0A85"/>
    <w:rPr>
      <w:b/>
      <w:bCs/>
    </w:rPr>
  </w:style>
  <w:style w:type="character" w:customStyle="1" w:styleId="AsuntodelcomentarioCar">
    <w:name w:val="Asunto del comentario Car"/>
    <w:basedOn w:val="TextocomentarioCar"/>
    <w:link w:val="Asuntodelcomentario"/>
    <w:uiPriority w:val="99"/>
    <w:semiHidden/>
    <w:rsid w:val="001B0A8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546832">
      <w:bodyDiv w:val="1"/>
      <w:marLeft w:val="0"/>
      <w:marRight w:val="0"/>
      <w:marTop w:val="0"/>
      <w:marBottom w:val="0"/>
      <w:divBdr>
        <w:top w:val="none" w:sz="0" w:space="0" w:color="auto"/>
        <w:left w:val="none" w:sz="0" w:space="0" w:color="auto"/>
        <w:bottom w:val="none" w:sz="0" w:space="0" w:color="auto"/>
        <w:right w:val="none" w:sz="0" w:space="0" w:color="auto"/>
      </w:divBdr>
    </w:div>
    <w:div w:id="367072564">
      <w:bodyDiv w:val="1"/>
      <w:marLeft w:val="0"/>
      <w:marRight w:val="0"/>
      <w:marTop w:val="0"/>
      <w:marBottom w:val="0"/>
      <w:divBdr>
        <w:top w:val="none" w:sz="0" w:space="0" w:color="auto"/>
        <w:left w:val="none" w:sz="0" w:space="0" w:color="auto"/>
        <w:bottom w:val="none" w:sz="0" w:space="0" w:color="auto"/>
        <w:right w:val="none" w:sz="0" w:space="0" w:color="auto"/>
      </w:divBdr>
    </w:div>
    <w:div w:id="368067173">
      <w:bodyDiv w:val="1"/>
      <w:marLeft w:val="0"/>
      <w:marRight w:val="0"/>
      <w:marTop w:val="0"/>
      <w:marBottom w:val="0"/>
      <w:divBdr>
        <w:top w:val="none" w:sz="0" w:space="0" w:color="auto"/>
        <w:left w:val="none" w:sz="0" w:space="0" w:color="auto"/>
        <w:bottom w:val="none" w:sz="0" w:space="0" w:color="auto"/>
        <w:right w:val="none" w:sz="0" w:space="0" w:color="auto"/>
      </w:divBdr>
    </w:div>
    <w:div w:id="391930083">
      <w:bodyDiv w:val="1"/>
      <w:marLeft w:val="0"/>
      <w:marRight w:val="0"/>
      <w:marTop w:val="0"/>
      <w:marBottom w:val="0"/>
      <w:divBdr>
        <w:top w:val="none" w:sz="0" w:space="0" w:color="auto"/>
        <w:left w:val="none" w:sz="0" w:space="0" w:color="auto"/>
        <w:bottom w:val="none" w:sz="0" w:space="0" w:color="auto"/>
        <w:right w:val="none" w:sz="0" w:space="0" w:color="auto"/>
      </w:divBdr>
    </w:div>
    <w:div w:id="482695561">
      <w:bodyDiv w:val="1"/>
      <w:marLeft w:val="0"/>
      <w:marRight w:val="0"/>
      <w:marTop w:val="0"/>
      <w:marBottom w:val="0"/>
      <w:divBdr>
        <w:top w:val="none" w:sz="0" w:space="0" w:color="auto"/>
        <w:left w:val="none" w:sz="0" w:space="0" w:color="auto"/>
        <w:bottom w:val="none" w:sz="0" w:space="0" w:color="auto"/>
        <w:right w:val="none" w:sz="0" w:space="0" w:color="auto"/>
      </w:divBdr>
    </w:div>
    <w:div w:id="837617597">
      <w:bodyDiv w:val="1"/>
      <w:marLeft w:val="0"/>
      <w:marRight w:val="0"/>
      <w:marTop w:val="0"/>
      <w:marBottom w:val="0"/>
      <w:divBdr>
        <w:top w:val="none" w:sz="0" w:space="0" w:color="auto"/>
        <w:left w:val="none" w:sz="0" w:space="0" w:color="auto"/>
        <w:bottom w:val="none" w:sz="0" w:space="0" w:color="auto"/>
        <w:right w:val="none" w:sz="0" w:space="0" w:color="auto"/>
      </w:divBdr>
    </w:div>
    <w:div w:id="1171679064">
      <w:bodyDiv w:val="1"/>
      <w:marLeft w:val="0"/>
      <w:marRight w:val="0"/>
      <w:marTop w:val="0"/>
      <w:marBottom w:val="0"/>
      <w:divBdr>
        <w:top w:val="none" w:sz="0" w:space="0" w:color="auto"/>
        <w:left w:val="none" w:sz="0" w:space="0" w:color="auto"/>
        <w:bottom w:val="none" w:sz="0" w:space="0" w:color="auto"/>
        <w:right w:val="none" w:sz="0" w:space="0" w:color="auto"/>
      </w:divBdr>
    </w:div>
    <w:div w:id="1238441419">
      <w:bodyDiv w:val="1"/>
      <w:marLeft w:val="0"/>
      <w:marRight w:val="0"/>
      <w:marTop w:val="0"/>
      <w:marBottom w:val="0"/>
      <w:divBdr>
        <w:top w:val="none" w:sz="0" w:space="0" w:color="auto"/>
        <w:left w:val="none" w:sz="0" w:space="0" w:color="auto"/>
        <w:bottom w:val="none" w:sz="0" w:space="0" w:color="auto"/>
        <w:right w:val="none" w:sz="0" w:space="0" w:color="auto"/>
      </w:divBdr>
    </w:div>
    <w:div w:id="1285694725">
      <w:bodyDiv w:val="1"/>
      <w:marLeft w:val="0"/>
      <w:marRight w:val="0"/>
      <w:marTop w:val="0"/>
      <w:marBottom w:val="0"/>
      <w:divBdr>
        <w:top w:val="none" w:sz="0" w:space="0" w:color="auto"/>
        <w:left w:val="none" w:sz="0" w:space="0" w:color="auto"/>
        <w:bottom w:val="none" w:sz="0" w:space="0" w:color="auto"/>
        <w:right w:val="none" w:sz="0" w:space="0" w:color="auto"/>
      </w:divBdr>
    </w:div>
    <w:div w:id="1351302126">
      <w:bodyDiv w:val="1"/>
      <w:marLeft w:val="0"/>
      <w:marRight w:val="0"/>
      <w:marTop w:val="0"/>
      <w:marBottom w:val="0"/>
      <w:divBdr>
        <w:top w:val="none" w:sz="0" w:space="0" w:color="auto"/>
        <w:left w:val="none" w:sz="0" w:space="0" w:color="auto"/>
        <w:bottom w:val="none" w:sz="0" w:space="0" w:color="auto"/>
        <w:right w:val="none" w:sz="0" w:space="0" w:color="auto"/>
      </w:divBdr>
    </w:div>
    <w:div w:id="1445688763">
      <w:bodyDiv w:val="1"/>
      <w:marLeft w:val="0"/>
      <w:marRight w:val="0"/>
      <w:marTop w:val="0"/>
      <w:marBottom w:val="0"/>
      <w:divBdr>
        <w:top w:val="none" w:sz="0" w:space="0" w:color="auto"/>
        <w:left w:val="none" w:sz="0" w:space="0" w:color="auto"/>
        <w:bottom w:val="none" w:sz="0" w:space="0" w:color="auto"/>
        <w:right w:val="none" w:sz="0" w:space="0" w:color="auto"/>
      </w:divBdr>
    </w:div>
    <w:div w:id="1859268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15</Pages>
  <Words>6742</Words>
  <Characters>37085</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González Cagigal</dc:creator>
  <cp:keywords/>
  <dc:description/>
  <cp:lastModifiedBy>David González Cagigal</cp:lastModifiedBy>
  <cp:revision>15</cp:revision>
  <dcterms:created xsi:type="dcterms:W3CDTF">2025-02-09T10:41:00Z</dcterms:created>
  <dcterms:modified xsi:type="dcterms:W3CDTF">2025-04-03T16:14:00Z</dcterms:modified>
</cp:coreProperties>
</file>